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A0E6" w14:textId="77777777" w:rsidR="006C721E" w:rsidRDefault="006C721E" w:rsidP="006C721E">
      <w:pPr>
        <w:pStyle w:val="Default"/>
        <w:rPr>
          <w:rFonts w:asciiTheme="minorHAnsi" w:hAnsiTheme="minorHAnsi"/>
        </w:rPr>
      </w:pPr>
    </w:p>
    <w:p w14:paraId="4A7C772C" w14:textId="44D68E3C" w:rsidR="00B35EE7" w:rsidRPr="00743F00" w:rsidRDefault="00B35EE7" w:rsidP="006C721E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743F00">
        <w:rPr>
          <w:rFonts w:asciiTheme="minorHAnsi" w:hAnsiTheme="minorHAnsi"/>
          <w:b/>
          <w:bCs/>
          <w:sz w:val="22"/>
          <w:szCs w:val="22"/>
        </w:rPr>
        <w:t xml:space="preserve">Standard oraz ceny rynkowe najczęściej finansowanych wydatków w projektach w ramach Poddziałania </w:t>
      </w:r>
      <w:r w:rsidR="005E4954">
        <w:rPr>
          <w:rFonts w:asciiTheme="minorHAnsi" w:hAnsiTheme="minorHAnsi"/>
          <w:b/>
          <w:bCs/>
          <w:sz w:val="22"/>
          <w:szCs w:val="22"/>
        </w:rPr>
        <w:t>11</w:t>
      </w:r>
      <w:r w:rsidR="006D20E2">
        <w:rPr>
          <w:rFonts w:asciiTheme="minorHAnsi" w:hAnsiTheme="minorHAnsi"/>
          <w:b/>
          <w:bCs/>
          <w:sz w:val="22"/>
          <w:szCs w:val="22"/>
        </w:rPr>
        <w:t>.1</w:t>
      </w:r>
    </w:p>
    <w:p w14:paraId="23F4B42B" w14:textId="77777777" w:rsidR="00B35EE7" w:rsidRPr="00743F00" w:rsidRDefault="00B35EE7" w:rsidP="00B35EE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DB09FA6" w14:textId="1344986A" w:rsidR="003F48CD" w:rsidRPr="00743F00" w:rsidRDefault="003F48CD" w:rsidP="00D765C8">
      <w:pPr>
        <w:pStyle w:val="Default"/>
        <w:spacing w:line="276" w:lineRule="auto"/>
        <w:rPr>
          <w:rFonts w:asciiTheme="minorHAnsi" w:hAnsiTheme="minorHAnsi"/>
          <w:sz w:val="22"/>
          <w:szCs w:val="22"/>
        </w:rPr>
      </w:pPr>
      <w:r w:rsidRPr="00743F00">
        <w:rPr>
          <w:rFonts w:asciiTheme="minorHAnsi" w:hAnsiTheme="minorHAnsi"/>
          <w:sz w:val="22"/>
          <w:szCs w:val="22"/>
        </w:rPr>
        <w:t>Dokument ten określa k</w:t>
      </w:r>
      <w:r w:rsidR="00B35EE7" w:rsidRPr="00743F00">
        <w:rPr>
          <w:rFonts w:asciiTheme="minorHAnsi" w:hAnsiTheme="minorHAnsi"/>
          <w:sz w:val="22"/>
          <w:szCs w:val="22"/>
        </w:rPr>
        <w:t xml:space="preserve">atalog </w:t>
      </w:r>
      <w:r w:rsidRPr="00743F00">
        <w:rPr>
          <w:rFonts w:asciiTheme="minorHAnsi" w:hAnsiTheme="minorHAnsi"/>
          <w:sz w:val="22"/>
          <w:szCs w:val="22"/>
        </w:rPr>
        <w:t xml:space="preserve">najczęściej finansowanych kosztów w ramach Poddziałania </w:t>
      </w:r>
      <w:r w:rsidR="005E4954">
        <w:rPr>
          <w:rFonts w:asciiTheme="minorHAnsi" w:hAnsiTheme="minorHAnsi"/>
          <w:sz w:val="22"/>
          <w:szCs w:val="22"/>
        </w:rPr>
        <w:t>11.</w:t>
      </w:r>
      <w:r w:rsidR="006D20E2">
        <w:rPr>
          <w:rFonts w:asciiTheme="minorHAnsi" w:hAnsiTheme="minorHAnsi"/>
          <w:sz w:val="22"/>
          <w:szCs w:val="22"/>
        </w:rPr>
        <w:t>1</w:t>
      </w:r>
      <w:r w:rsidR="008A13A2" w:rsidRPr="00743F00">
        <w:rPr>
          <w:rFonts w:asciiTheme="minorHAnsi" w:hAnsiTheme="minorHAnsi"/>
          <w:sz w:val="22"/>
          <w:szCs w:val="22"/>
        </w:rPr>
        <w:t xml:space="preserve"> </w:t>
      </w:r>
      <w:r w:rsidRPr="00743F00">
        <w:rPr>
          <w:rFonts w:asciiTheme="minorHAnsi" w:hAnsiTheme="minorHAnsi"/>
          <w:sz w:val="22"/>
          <w:szCs w:val="22"/>
        </w:rPr>
        <w:t xml:space="preserve">oraz zawiera zalecenia odnośnie </w:t>
      </w:r>
      <w:r w:rsidR="006B1E5B" w:rsidRPr="00743F00">
        <w:rPr>
          <w:rFonts w:asciiTheme="minorHAnsi" w:hAnsiTheme="minorHAnsi"/>
          <w:sz w:val="22"/>
          <w:szCs w:val="22"/>
        </w:rPr>
        <w:t xml:space="preserve">do </w:t>
      </w:r>
      <w:r w:rsidRPr="00743F00">
        <w:rPr>
          <w:rFonts w:asciiTheme="minorHAnsi" w:hAnsiTheme="minorHAnsi"/>
          <w:sz w:val="22"/>
          <w:szCs w:val="22"/>
        </w:rPr>
        <w:t>zasad konstruowania budżetu szczegółowego projektu.</w:t>
      </w:r>
    </w:p>
    <w:p w14:paraId="68B532A8" w14:textId="77777777" w:rsidR="00D765C8" w:rsidRPr="00D765C8" w:rsidRDefault="00D765C8" w:rsidP="00D765C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A6543C1" w14:textId="77777777" w:rsidR="00D765C8" w:rsidRPr="00D765C8" w:rsidRDefault="00D765C8" w:rsidP="00D765C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765C8">
        <w:rPr>
          <w:rFonts w:cs="Calibri"/>
          <w:color w:val="000000"/>
        </w:rPr>
        <w:t xml:space="preserve">Katalog kosztów nie ma charakteru zamkniętego. Dopuszczalne jest ujmowanie w projekcie innych kosztów, które są niezbędne do jego realizacji. Stawki wyszczególnione w zestawieniu są stawkami maksymalnymi, jednak nie oznacza to automatycznego akceptowania przez oceniających stawek założonych na maksymalnym poziomie (brane pod uwagę będą takie czynniki jak: specyfika projektu, stopień złożoności projektu, wielkość grupy docelowej, miejsce realizacji itp.). </w:t>
      </w:r>
    </w:p>
    <w:p w14:paraId="69E50C17" w14:textId="77777777" w:rsidR="00D765C8" w:rsidRPr="00D765C8" w:rsidRDefault="00D765C8" w:rsidP="00D765C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130DCB6A" w14:textId="77777777" w:rsidR="00D765C8" w:rsidRPr="00D765C8" w:rsidRDefault="00D765C8" w:rsidP="00D765C8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  <w:r w:rsidRPr="00D765C8">
        <w:rPr>
          <w:rFonts w:cs="Calibri"/>
          <w:color w:val="000000"/>
        </w:rPr>
        <w:t>Kwoty ujęte w zestawieniu uwzględniają wartość brutto wydatku (z wyjątkiem wynagrodzeń, które są szacowane z uwzględnieniem kosztów pracodawcy). Niemniej, wydatki na wynagrodzenie personelu są kwalifikowalne pod warunkiem, że ich wysokość odpowiada stawkom faktycznie stosowanym u wnioskodawcy/beneficjenta poza projektami współfinansowanymi z funduszy strukturalnych i FS na analogicznych stanowiskach lub na stanowiskach wymagających analogicznych kwalifikacji.</w:t>
      </w:r>
    </w:p>
    <w:p w14:paraId="13415B0E" w14:textId="77777777" w:rsidR="00D765C8" w:rsidRPr="00D765C8" w:rsidRDefault="00D765C8" w:rsidP="00D765C8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642"/>
        <w:gridCol w:w="1701"/>
        <w:gridCol w:w="5812"/>
      </w:tblGrid>
      <w:tr w:rsidR="00D765C8" w:rsidRPr="00D765C8" w14:paraId="52E3DDB9" w14:textId="77777777" w:rsidTr="00247EF6">
        <w:tc>
          <w:tcPr>
            <w:tcW w:w="456" w:type="dxa"/>
            <w:shd w:val="clear" w:color="auto" w:fill="D9D9D9"/>
          </w:tcPr>
          <w:p w14:paraId="4D4EEEBE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42" w:type="dxa"/>
            <w:shd w:val="clear" w:color="auto" w:fill="D9D9D9"/>
          </w:tcPr>
          <w:p w14:paraId="6829D3E0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Rodzaj kosztu</w:t>
            </w:r>
          </w:p>
        </w:tc>
        <w:tc>
          <w:tcPr>
            <w:tcW w:w="1701" w:type="dxa"/>
            <w:shd w:val="clear" w:color="auto" w:fill="D9D9D9"/>
          </w:tcPr>
          <w:p w14:paraId="27B224F3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Maksymalny koszt</w:t>
            </w:r>
          </w:p>
        </w:tc>
        <w:tc>
          <w:tcPr>
            <w:tcW w:w="5812" w:type="dxa"/>
            <w:shd w:val="clear" w:color="auto" w:fill="D9D9D9"/>
          </w:tcPr>
          <w:p w14:paraId="78403951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Oczekiwany standard/Uzasadnienie</w:t>
            </w:r>
          </w:p>
        </w:tc>
      </w:tr>
      <w:tr w:rsidR="00D765C8" w:rsidRPr="00D765C8" w14:paraId="4D9A5B10" w14:textId="77777777" w:rsidTr="00247EF6">
        <w:tc>
          <w:tcPr>
            <w:tcW w:w="456" w:type="dxa"/>
            <w:shd w:val="clear" w:color="auto" w:fill="auto"/>
          </w:tcPr>
          <w:p w14:paraId="0ABDE172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42" w:type="dxa"/>
            <w:shd w:val="clear" w:color="auto" w:fill="auto"/>
          </w:tcPr>
          <w:p w14:paraId="317E80B9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  <w:sz w:val="24"/>
                <w:szCs w:val="24"/>
              </w:rPr>
              <w:t>Koszt przerwy kawowej</w:t>
            </w:r>
          </w:p>
        </w:tc>
        <w:tc>
          <w:tcPr>
            <w:tcW w:w="1701" w:type="dxa"/>
            <w:shd w:val="clear" w:color="auto" w:fill="auto"/>
          </w:tcPr>
          <w:p w14:paraId="5D1CF66C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15 zł/osobę</w:t>
            </w:r>
          </w:p>
        </w:tc>
        <w:tc>
          <w:tcPr>
            <w:tcW w:w="5812" w:type="dxa"/>
            <w:shd w:val="clear" w:color="auto" w:fill="auto"/>
          </w:tcPr>
          <w:p w14:paraId="3B26766F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  <w:sz w:val="24"/>
                <w:szCs w:val="24"/>
              </w:rPr>
              <w:t>Maksymalny koszt przerwy kawowej to 15 zł/osobę. Wydatek nie będzie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</w:tc>
      </w:tr>
      <w:tr w:rsidR="00D765C8" w:rsidRPr="00D765C8" w14:paraId="3DF2F833" w14:textId="77777777" w:rsidTr="00247EF6">
        <w:tc>
          <w:tcPr>
            <w:tcW w:w="456" w:type="dxa"/>
            <w:shd w:val="clear" w:color="auto" w:fill="auto"/>
          </w:tcPr>
          <w:p w14:paraId="35A44D61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7B395089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  <w:sz w:val="24"/>
                <w:szCs w:val="24"/>
              </w:rPr>
              <w:t>Koszt przerwy obiadowej</w:t>
            </w:r>
          </w:p>
        </w:tc>
        <w:tc>
          <w:tcPr>
            <w:tcW w:w="1701" w:type="dxa"/>
            <w:shd w:val="clear" w:color="auto" w:fill="auto"/>
          </w:tcPr>
          <w:p w14:paraId="60D390DA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/>
                <w:bCs/>
                <w:color w:val="000000"/>
              </w:rPr>
              <w:t>44 zł/osobę</w:t>
            </w:r>
          </w:p>
        </w:tc>
        <w:tc>
          <w:tcPr>
            <w:tcW w:w="5812" w:type="dxa"/>
            <w:shd w:val="clear" w:color="auto" w:fill="auto"/>
          </w:tcPr>
          <w:p w14:paraId="2F68E96B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765C8">
              <w:rPr>
                <w:rFonts w:ascii="Calibri" w:hAnsi="Calibri" w:cs="Calibri"/>
                <w:color w:val="000000"/>
                <w:sz w:val="24"/>
                <w:szCs w:val="24"/>
              </w:rPr>
              <w:t>Maksymalny koszt przerwy obiadowej to 44 zł/osobę.</w:t>
            </w:r>
          </w:p>
          <w:p w14:paraId="66CF68C3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Cs/>
                <w:color w:val="000000"/>
              </w:rPr>
              <w:t>Możliwość kwalifikowania wydatku jest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dania).</w:t>
            </w:r>
          </w:p>
        </w:tc>
      </w:tr>
      <w:tr w:rsidR="00D765C8" w:rsidRPr="00D765C8" w14:paraId="0B25AE6A" w14:textId="77777777" w:rsidTr="00247EF6">
        <w:tc>
          <w:tcPr>
            <w:tcW w:w="9611" w:type="dxa"/>
            <w:gridSpan w:val="4"/>
            <w:shd w:val="clear" w:color="auto" w:fill="F2F2F2" w:themeFill="background1" w:themeFillShade="F2"/>
          </w:tcPr>
          <w:p w14:paraId="2D28A3EE" w14:textId="77777777" w:rsidR="00D765C8" w:rsidRPr="00D765C8" w:rsidRDefault="00D765C8" w:rsidP="00D765C8">
            <w:pPr>
              <w:tabs>
                <w:tab w:val="left" w:pos="2985"/>
              </w:tabs>
              <w:spacing w:after="0" w:line="240" w:lineRule="auto"/>
            </w:pPr>
            <w:r w:rsidRPr="00D765C8">
              <w:rPr>
                <w:rFonts w:cs="Arial"/>
                <w:b/>
                <w:noProof/>
              </w:rPr>
              <w:t>Instrumenty aktywizacji zawodowej</w:t>
            </w:r>
          </w:p>
        </w:tc>
      </w:tr>
    </w:tbl>
    <w:p w14:paraId="204B51F4" w14:textId="77777777" w:rsidR="00D765C8" w:rsidRPr="00D765C8" w:rsidRDefault="00D765C8" w:rsidP="00D765C8">
      <w:pPr>
        <w:jc w:val="both"/>
      </w:pPr>
    </w:p>
    <w:p w14:paraId="0493C4D4" w14:textId="77777777" w:rsidR="00D765C8" w:rsidRPr="00D765C8" w:rsidRDefault="00D765C8" w:rsidP="00D76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D765C8">
        <w:rPr>
          <w:b/>
        </w:rPr>
        <w:t>Zalecenia odnośnie do zasad konstruowania budżetu szczegółowego projektu.</w:t>
      </w:r>
    </w:p>
    <w:p w14:paraId="33F29B8F" w14:textId="77777777" w:rsidR="00D765C8" w:rsidRPr="00D765C8" w:rsidRDefault="00D765C8" w:rsidP="00D765C8">
      <w:pPr>
        <w:spacing w:after="0"/>
      </w:pPr>
      <w:r w:rsidRPr="00D765C8">
        <w:rPr>
          <w:b/>
        </w:rPr>
        <w:t xml:space="preserve">IZ RPO WK-P zaleca, aby wydatki w budżecie szczegółowym ujmować w tożsamych kategoriach zbiorczych, tzn. jako osobnych pozycji budżetowych nie ujmować wydatków, które można </w:t>
      </w:r>
      <w:r w:rsidRPr="00D765C8">
        <w:rPr>
          <w:b/>
        </w:rPr>
        <w:lastRenderedPageBreak/>
        <w:t>uwzględnić w budżecie w ramach wydatku o charakterze zbiorczym.</w:t>
      </w:r>
      <w:r w:rsidRPr="00D765C8">
        <w:t xml:space="preserve"> Dotyczy to np. materiałów na potrzeby realizacji zajęć, drobnego sprzętu.</w:t>
      </w:r>
    </w:p>
    <w:p w14:paraId="7D468CAB" w14:textId="77777777" w:rsidR="00D765C8" w:rsidRPr="00D765C8" w:rsidRDefault="00D765C8" w:rsidP="00D765C8">
      <w:pPr>
        <w:spacing w:after="0"/>
      </w:pPr>
    </w:p>
    <w:p w14:paraId="168F8684" w14:textId="77777777" w:rsidR="00D765C8" w:rsidRPr="00D765C8" w:rsidRDefault="00D765C8" w:rsidP="00D765C8">
      <w:pPr>
        <w:spacing w:after="0"/>
      </w:pPr>
      <w:r w:rsidRPr="00D765C8">
        <w:rPr>
          <w:b/>
        </w:rPr>
        <w:t>W uzasadnieniu kosztów specyficznych należy podać, co wchodzi w skład zestawu. Co do zasady</w:t>
      </w:r>
      <w:r w:rsidRPr="00D765C8">
        <w:t xml:space="preserve"> w przypadku zestawów o niewielkiej wartości (obejmujących np. teczki, notesy, pendrive itd.)  wystarczające jest wskazanie elementów wchodzących w skład zestawu. W przypadku zestawów o większej wartości i zestawów, w których ocena racjonalności jedynie na podstawie określenia elementów składowych może być utrudniona, w uzasadnieniu należy wskazać również ceny jednostkowe, np. w gdy w skład zestawu wchodzą elementy, których ceny jednostkowe nie są publicznie dostępne lub gdy istnieją wątpliwości co do sposobu kalkulacji wydatku. Przykład:</w:t>
      </w:r>
    </w:p>
    <w:p w14:paraId="1B283C50" w14:textId="77777777" w:rsidR="00D765C8" w:rsidRPr="00D765C8" w:rsidRDefault="00D765C8" w:rsidP="00D765C8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7"/>
        <w:gridCol w:w="7265"/>
      </w:tblGrid>
      <w:tr w:rsidR="00D765C8" w:rsidRPr="00D765C8" w14:paraId="4B1CEDEC" w14:textId="77777777" w:rsidTr="00247EF6">
        <w:tc>
          <w:tcPr>
            <w:tcW w:w="1797" w:type="dxa"/>
            <w:shd w:val="clear" w:color="auto" w:fill="D9D9D9" w:themeFill="background1" w:themeFillShade="D9"/>
          </w:tcPr>
          <w:p w14:paraId="719E920A" w14:textId="77777777" w:rsidR="00D765C8" w:rsidRPr="00D765C8" w:rsidRDefault="00D765C8" w:rsidP="00D765C8">
            <w:pPr>
              <w:spacing w:after="200" w:line="276" w:lineRule="auto"/>
              <w:rPr>
                <w:sz w:val="20"/>
                <w:szCs w:val="20"/>
              </w:rPr>
            </w:pPr>
            <w:r w:rsidRPr="00D765C8">
              <w:rPr>
                <w:sz w:val="20"/>
                <w:szCs w:val="20"/>
              </w:rPr>
              <w:t>Nr poz. budżetowej</w:t>
            </w:r>
          </w:p>
        </w:tc>
        <w:tc>
          <w:tcPr>
            <w:tcW w:w="7265" w:type="dxa"/>
            <w:shd w:val="clear" w:color="auto" w:fill="D9D9D9" w:themeFill="background1" w:themeFillShade="D9"/>
          </w:tcPr>
          <w:p w14:paraId="6B5586B0" w14:textId="77777777" w:rsidR="00D765C8" w:rsidRPr="00D765C8" w:rsidRDefault="00D765C8" w:rsidP="00D765C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>2 - Materiały szkoleniowe na warsztaty kompetencji interpersonalnych</w:t>
            </w:r>
          </w:p>
        </w:tc>
      </w:tr>
      <w:tr w:rsidR="00D765C8" w:rsidRPr="00D765C8" w14:paraId="3C8E5501" w14:textId="77777777" w:rsidTr="00247EF6">
        <w:trPr>
          <w:trHeight w:val="667"/>
        </w:trPr>
        <w:tc>
          <w:tcPr>
            <w:tcW w:w="1797" w:type="dxa"/>
            <w:shd w:val="clear" w:color="auto" w:fill="D9D9D9" w:themeFill="background1" w:themeFillShade="D9"/>
          </w:tcPr>
          <w:p w14:paraId="2FE04470" w14:textId="77777777" w:rsidR="00D765C8" w:rsidRPr="00D765C8" w:rsidRDefault="00D765C8" w:rsidP="00D765C8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D765C8">
              <w:rPr>
                <w:sz w:val="20"/>
                <w:szCs w:val="20"/>
              </w:rPr>
              <w:t>Uzasadnienie</w:t>
            </w:r>
          </w:p>
        </w:tc>
        <w:tc>
          <w:tcPr>
            <w:tcW w:w="7265" w:type="dxa"/>
          </w:tcPr>
          <w:p w14:paraId="49AE3E06" w14:textId="77777777" w:rsidR="00D765C8" w:rsidRPr="00D765C8" w:rsidRDefault="00D765C8" w:rsidP="00D765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 xml:space="preserve">W skład zestawu wchodzą: kartki papieru, flamastry, karteczki samoprzylepne, taśma klejąca, nożyczki, filmy instruktarzowe, materiały dla uczestników: skrypt na pendrive, pakiety ćwiczeń. Szacunkowy koszt materiałów przypadający na osobę to 50 zł podczas 30 godzin warsztatów. Koszt na osobę oszacowany na podstawie dotychczasowego doświadczenia wnioskodawcy w realizacji podobnych zajęć. </w:t>
            </w:r>
          </w:p>
        </w:tc>
      </w:tr>
    </w:tbl>
    <w:p w14:paraId="3B5FE5A0" w14:textId="77777777" w:rsidR="00D765C8" w:rsidRPr="00D765C8" w:rsidRDefault="00D765C8" w:rsidP="00D765C8">
      <w:pPr>
        <w:jc w:val="both"/>
        <w:rPr>
          <w:rFonts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5C8" w:rsidRPr="00D765C8" w14:paraId="31662A41" w14:textId="77777777" w:rsidTr="00247EF6">
        <w:tc>
          <w:tcPr>
            <w:tcW w:w="9062" w:type="dxa"/>
            <w:shd w:val="clear" w:color="auto" w:fill="BFBFBF" w:themeFill="background1" w:themeFillShade="BF"/>
          </w:tcPr>
          <w:p w14:paraId="68F8F1EE" w14:textId="77777777" w:rsidR="00D765C8" w:rsidRPr="00D765C8" w:rsidRDefault="00D765C8" w:rsidP="00D765C8">
            <w:pPr>
              <w:spacing w:after="200" w:line="276" w:lineRule="auto"/>
              <w:jc w:val="both"/>
              <w:rPr>
                <w:b/>
              </w:rPr>
            </w:pPr>
            <w:r w:rsidRPr="00D765C8">
              <w:rPr>
                <w:b/>
              </w:rPr>
              <w:t>Zalecenia dotyczące zakresu niezbędnych informacji uzasadniających dany koszt</w:t>
            </w:r>
          </w:p>
        </w:tc>
      </w:tr>
    </w:tbl>
    <w:p w14:paraId="376FBD94" w14:textId="77777777" w:rsidR="00D765C8" w:rsidRPr="00D765C8" w:rsidRDefault="00D765C8" w:rsidP="00D765C8">
      <w:pPr>
        <w:spacing w:after="0"/>
        <w:jc w:val="both"/>
        <w:rPr>
          <w:rFonts w:cs="Arial"/>
          <w:bCs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6549"/>
      </w:tblGrid>
      <w:tr w:rsidR="00D765C8" w:rsidRPr="00D765C8" w14:paraId="3F0B1D0E" w14:textId="77777777" w:rsidTr="00247EF6">
        <w:trPr>
          <w:trHeight w:val="414"/>
        </w:trPr>
        <w:tc>
          <w:tcPr>
            <w:tcW w:w="2523" w:type="dxa"/>
            <w:shd w:val="clear" w:color="auto" w:fill="D9D9D9"/>
          </w:tcPr>
          <w:p w14:paraId="14AFD9D6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D765C8">
              <w:rPr>
                <w:rFonts w:ascii="Calibri" w:hAnsi="Calibri" w:cs="Calibri"/>
                <w:b/>
                <w:color w:val="000000"/>
              </w:rPr>
              <w:t>Szkolenia/ warsztaty/ spotkania z zakresu instrumentów aktywizacji społecznej</w:t>
            </w:r>
          </w:p>
        </w:tc>
        <w:tc>
          <w:tcPr>
            <w:tcW w:w="6549" w:type="dxa"/>
          </w:tcPr>
          <w:p w14:paraId="3944AE13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bCs/>
                <w:color w:val="000000"/>
              </w:rPr>
              <w:t>W przypadku tego rodzaju kosztu w uzasadnieniu pod budżetem należy wskazać informacje nt.:</w:t>
            </w:r>
          </w:p>
          <w:p w14:paraId="1AD6E5BF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bCs/>
                <w:color w:val="000000"/>
              </w:rPr>
              <w:t>- rodzaju planowanego instrumentu;</w:t>
            </w:r>
          </w:p>
          <w:p w14:paraId="413897DE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  <w:r w:rsidRPr="00D765C8">
              <w:rPr>
                <w:rFonts w:ascii="Calibri" w:hAnsi="Calibri" w:cs="Calibri"/>
                <w:bCs/>
                <w:i/>
                <w:color w:val="000000"/>
              </w:rPr>
              <w:t xml:space="preserve">- </w:t>
            </w:r>
            <w:r w:rsidRPr="00D765C8">
              <w:rPr>
                <w:rFonts w:ascii="Calibri" w:hAnsi="Calibri" w:cs="Calibri"/>
                <w:bCs/>
                <w:color w:val="000000"/>
              </w:rPr>
              <w:t>przewidywanej liczbę uczestników;</w:t>
            </w:r>
          </w:p>
          <w:p w14:paraId="3327046E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>- przewidywanego czasu trwania – liczba godzin (w tym liczbę godzin wsparcia w ciągu dnia);</w:t>
            </w:r>
          </w:p>
          <w:p w14:paraId="7AE1AF32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>- podstawy oszacowania kosztu (np. doświadczenie w realizacji tego typu wsparcia oraz przykładowy katalog kosztów z uwzględnieniem kosztów: trenera, cateringu, materiałów szkoleniowych).</w:t>
            </w:r>
          </w:p>
        </w:tc>
      </w:tr>
      <w:tr w:rsidR="00D765C8" w:rsidRPr="00D765C8" w14:paraId="69230C7A" w14:textId="77777777" w:rsidTr="00247EF6">
        <w:trPr>
          <w:trHeight w:val="414"/>
        </w:trPr>
        <w:tc>
          <w:tcPr>
            <w:tcW w:w="2523" w:type="dxa"/>
            <w:shd w:val="clear" w:color="auto" w:fill="D9D9D9"/>
          </w:tcPr>
          <w:p w14:paraId="286680B9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765C8">
              <w:rPr>
                <w:rFonts w:ascii="Calibri" w:hAnsi="Calibri" w:cs="Calibri"/>
                <w:b/>
                <w:color w:val="000000"/>
              </w:rPr>
              <w:t>Działania o charakterze środowiskowym</w:t>
            </w:r>
          </w:p>
        </w:tc>
        <w:tc>
          <w:tcPr>
            <w:tcW w:w="6549" w:type="dxa"/>
          </w:tcPr>
          <w:p w14:paraId="7F64FC7D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bCs/>
                <w:color w:val="000000"/>
              </w:rPr>
              <w:t>W przypadku tego rodzaju kosztu w uzasadnieniu pod budżetem należy wskazać informacje nt.</w:t>
            </w:r>
          </w:p>
          <w:p w14:paraId="60374BF5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bCs/>
                <w:color w:val="000000"/>
              </w:rPr>
              <w:t>- rodzaju planowanego działania, jej cel;</w:t>
            </w:r>
          </w:p>
          <w:p w14:paraId="4469DC48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i/>
                <w:color w:val="000000"/>
              </w:rPr>
            </w:pPr>
            <w:r w:rsidRPr="00D765C8">
              <w:rPr>
                <w:rFonts w:ascii="Calibri" w:hAnsi="Calibri" w:cs="Calibri"/>
                <w:bCs/>
                <w:i/>
                <w:color w:val="000000"/>
              </w:rPr>
              <w:t xml:space="preserve">- </w:t>
            </w:r>
            <w:r w:rsidRPr="00D765C8">
              <w:rPr>
                <w:rFonts w:ascii="Calibri" w:hAnsi="Calibri" w:cs="Calibri"/>
                <w:bCs/>
                <w:color w:val="000000"/>
              </w:rPr>
              <w:t>przewidywanej liczby uczestników;</w:t>
            </w:r>
          </w:p>
          <w:p w14:paraId="2C348DAD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>- przewidywanego czasu trwania – liczba godzin;</w:t>
            </w:r>
          </w:p>
          <w:p w14:paraId="772BDF51" w14:textId="77777777" w:rsidR="00D765C8" w:rsidRPr="00D765C8" w:rsidRDefault="00D765C8" w:rsidP="00D765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D765C8">
              <w:rPr>
                <w:rFonts w:ascii="Calibri" w:hAnsi="Calibri" w:cs="Calibri"/>
                <w:color w:val="000000"/>
              </w:rPr>
              <w:t>- podstawy oszacowania kosztu (np. doświadczenie w realizacji tego typu wsparcia oraz przykładowy katalog kosztów z uwzględnieniem kosztów: trenera, cateringu, materiałów).</w:t>
            </w:r>
          </w:p>
        </w:tc>
      </w:tr>
    </w:tbl>
    <w:p w14:paraId="3E37E176" w14:textId="77777777" w:rsidR="00D765C8" w:rsidRDefault="00D765C8" w:rsidP="00D765C8">
      <w:pPr>
        <w:jc w:val="center"/>
        <w:rPr>
          <w:b/>
          <w:u w:val="single"/>
        </w:rPr>
      </w:pPr>
    </w:p>
    <w:p w14:paraId="37C8347A" w14:textId="77777777" w:rsidR="00D765C8" w:rsidRPr="00D765C8" w:rsidRDefault="00D765C8" w:rsidP="00D765C8">
      <w:pPr>
        <w:ind w:left="360"/>
        <w:contextualSpacing/>
        <w:jc w:val="both"/>
        <w:rPr>
          <w:rFonts w:ascii="Calibri" w:eastAsia="Calibri" w:hAnsi="Calibri" w:cs="Times New Roman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5C8" w:rsidRPr="00D765C8" w14:paraId="75D7B3CB" w14:textId="77777777" w:rsidTr="00247EF6">
        <w:tc>
          <w:tcPr>
            <w:tcW w:w="9212" w:type="dxa"/>
            <w:shd w:val="clear" w:color="auto" w:fill="BFBFBF" w:themeFill="background1" w:themeFillShade="BF"/>
          </w:tcPr>
          <w:p w14:paraId="3C8FDB2A" w14:textId="77777777" w:rsidR="00D765C8" w:rsidRPr="00D765C8" w:rsidRDefault="00D765C8" w:rsidP="00D765C8">
            <w:pPr>
              <w:spacing w:after="200" w:line="276" w:lineRule="auto"/>
              <w:jc w:val="both"/>
              <w:rPr>
                <w:b/>
              </w:rPr>
            </w:pPr>
            <w:r w:rsidRPr="00D765C8">
              <w:rPr>
                <w:b/>
              </w:rPr>
              <w:t>Nazwy kosztów w budżecie projektu</w:t>
            </w:r>
          </w:p>
        </w:tc>
      </w:tr>
    </w:tbl>
    <w:p w14:paraId="6F197545" w14:textId="77777777" w:rsidR="00D765C8" w:rsidRPr="00D765C8" w:rsidRDefault="00D765C8" w:rsidP="00D765C8">
      <w:pPr>
        <w:spacing w:after="0"/>
        <w:jc w:val="both"/>
      </w:pPr>
    </w:p>
    <w:p w14:paraId="3EB4C217" w14:textId="77777777" w:rsidR="00D765C8" w:rsidRPr="00D765C8" w:rsidRDefault="00D765C8" w:rsidP="00D765C8">
      <w:pPr>
        <w:spacing w:after="0"/>
        <w:jc w:val="both"/>
        <w:rPr>
          <w:rFonts w:cs="Calibri"/>
        </w:rPr>
      </w:pPr>
      <w:r w:rsidRPr="00D765C8">
        <w:rPr>
          <w:rFonts w:cs="Calibri"/>
        </w:rPr>
        <w:t xml:space="preserve">Wnioskodawca nie powinien wskazywać w szczegółowym budżecie projektu informacji typu forma zaangażowania, liczba godzin zajęć, liczba grup zajęciowych, liczba osób na zajęciach, częstotliwość </w:t>
      </w:r>
      <w:r w:rsidRPr="00D765C8">
        <w:rPr>
          <w:rFonts w:cs="Calibri"/>
        </w:rPr>
        <w:lastRenderedPageBreak/>
        <w:t>zajęć, cena jednostkowa itp. Informacje te należy wykazywać w uzasadnieniach dla poszczególnych wydatków pod szczegółowym budżetem projektu. Zgodnie z zaleceniami IK UP do centralnego systemu teleinformatycznego SL2014 nazwy pozycji powinny być odpowiednio ogólne tak, aby drobne zmiany, które pojawiają się w trakcie realizacji projektu nie wiązały się ze zmianą nazw kosztów.</w:t>
      </w:r>
    </w:p>
    <w:p w14:paraId="433E91FB" w14:textId="77777777" w:rsidR="00D765C8" w:rsidRPr="00D765C8" w:rsidRDefault="00D765C8" w:rsidP="00D765C8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65C8" w:rsidRPr="00D765C8" w14:paraId="251D38A8" w14:textId="77777777" w:rsidTr="00247EF6">
        <w:tc>
          <w:tcPr>
            <w:tcW w:w="9212" w:type="dxa"/>
            <w:shd w:val="clear" w:color="auto" w:fill="BFBFBF" w:themeFill="background1" w:themeFillShade="BF"/>
          </w:tcPr>
          <w:p w14:paraId="52731C9B" w14:textId="77777777" w:rsidR="00D765C8" w:rsidRPr="00D765C8" w:rsidRDefault="00D765C8" w:rsidP="00D765C8">
            <w:pPr>
              <w:keepNext/>
              <w:autoSpaceDE w:val="0"/>
              <w:autoSpaceDN w:val="0"/>
              <w:spacing w:line="276" w:lineRule="auto"/>
              <w:jc w:val="both"/>
              <w:outlineLvl w:val="2"/>
              <w:rPr>
                <w:rFonts w:eastAsia="Times New Roman" w:cs="Times New Roman"/>
                <w:b/>
                <w:bCs/>
                <w:noProof/>
              </w:rPr>
            </w:pPr>
            <w:r w:rsidRPr="00D765C8">
              <w:rPr>
                <w:rFonts w:eastAsia="Times New Roman" w:cs="Times New Roman"/>
                <w:b/>
                <w:bCs/>
                <w:noProof/>
              </w:rPr>
              <w:t xml:space="preserve">Zakaz podwójnego finansowania  </w:t>
            </w:r>
          </w:p>
        </w:tc>
      </w:tr>
    </w:tbl>
    <w:p w14:paraId="6D135068" w14:textId="77777777" w:rsidR="00D765C8" w:rsidRPr="00D765C8" w:rsidRDefault="00D765C8" w:rsidP="00D765C8">
      <w:pPr>
        <w:keepNext/>
        <w:autoSpaceDE w:val="0"/>
        <w:autoSpaceDN w:val="0"/>
        <w:spacing w:after="0"/>
        <w:jc w:val="both"/>
        <w:outlineLvl w:val="2"/>
        <w:rPr>
          <w:rFonts w:eastAsia="Times New Roman" w:cs="Times New Roman"/>
          <w:b/>
          <w:bCs/>
          <w:noProof/>
        </w:rPr>
      </w:pPr>
    </w:p>
    <w:p w14:paraId="19009BA5" w14:textId="77777777" w:rsidR="00D765C8" w:rsidRPr="00D765C8" w:rsidRDefault="00D765C8" w:rsidP="00D765C8">
      <w:pPr>
        <w:spacing w:after="0"/>
        <w:jc w:val="both"/>
      </w:pPr>
      <w:r w:rsidRPr="00D765C8">
        <w:t>W ramach projektów współfinansowanych ze środków Unii Europejskiej niedozwolone jest podwójne finansowanie wydatków. Podwójne finansowanie oznacza w szczególności:</w:t>
      </w:r>
    </w:p>
    <w:p w14:paraId="475FD824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całkowite lub częściowe, więcej niż jednokrotne poświadczenie, zrefundowanie lub rozliczenie tego samego wydatku w ramach dofinansowania lub wkładu własnego tego samego lub różnych projektów współfinansowanych ze środków funduszy strukturalnych lub Funduszu Spójności lub/oraz dotacji z krajowych środków publicznych,</w:t>
      </w:r>
    </w:p>
    <w:p w14:paraId="42F3B6B1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otrzymanie na wydatki kwalifikowalne danego projektu lub części projektu bezzwrotnej pomocy finansowej z kilku źródeł (krajowych, unijnych lub innych) w wysokości łącznie wyższej niż 100% wydatków kwalifikowalnych projektu lub części projektu,</w:t>
      </w:r>
    </w:p>
    <w:p w14:paraId="1AB4876F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poświadczenie, zrefundowanie lub rozliczenie kosztów podatku VAT ze środków funduszy strukturalnych lub Funduszu Spójności, a następnie odzyskanie tego podatku ze środków budżetu państwa na podstawie ustawy z dnia 11 marca 2004 r. o podatku od towarów i usług,</w:t>
      </w:r>
    </w:p>
    <w:p w14:paraId="1ABC6CB7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zakupienie środka trwałego z udziałem środków unijnych lub/oraz dotacji z krajowych środków publicznych, a następnie rozliczenie kosztów amortyzacji tego środka trwałego w ramach tego samego projektu lub innych współfinansowanych ze środków Unii Europejskiej,</w:t>
      </w:r>
    </w:p>
    <w:p w14:paraId="49A37595" w14:textId="77777777" w:rsidR="00D765C8" w:rsidRPr="00D765C8" w:rsidRDefault="00D765C8" w:rsidP="00D765C8">
      <w:pPr>
        <w:spacing w:after="0"/>
        <w:ind w:left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54"/>
      </w:tblGrid>
      <w:tr w:rsidR="00D765C8" w:rsidRPr="00D765C8" w14:paraId="78D817D7" w14:textId="77777777" w:rsidTr="00247EF6">
        <w:trPr>
          <w:trHeight w:val="1675"/>
        </w:trPr>
        <w:tc>
          <w:tcPr>
            <w:tcW w:w="9755" w:type="dxa"/>
            <w:shd w:val="clear" w:color="auto" w:fill="F2F2F2"/>
          </w:tcPr>
          <w:p w14:paraId="1EE2AB73" w14:textId="77777777" w:rsidR="00D765C8" w:rsidRPr="00D765C8" w:rsidRDefault="00D765C8" w:rsidP="00D765C8">
            <w:pPr>
              <w:spacing w:after="0"/>
              <w:jc w:val="both"/>
            </w:pPr>
            <w:r w:rsidRPr="00D765C8">
              <w:rPr>
                <w:b/>
              </w:rPr>
              <w:t>UWAGA!</w:t>
            </w:r>
            <w:r w:rsidRPr="00D765C8">
              <w:br/>
              <w:t>Oznacza to także, że niedozwolona jest sytuacja, w której najpierw środek trwały został nabyty z udziałem środków unijnych, a następnie odpisy amortyzacyjne od pełnej wartości danego środka trwałego zostały zaliczone do kosztów uzyskania przychodów, bez pomniejszenia wartości środka trwałego o otrzymane dofinansowanie.</w:t>
            </w:r>
          </w:p>
        </w:tc>
      </w:tr>
    </w:tbl>
    <w:p w14:paraId="151794BC" w14:textId="77777777" w:rsidR="00D765C8" w:rsidRPr="00D765C8" w:rsidRDefault="00D765C8" w:rsidP="00D765C8">
      <w:pPr>
        <w:spacing w:after="0"/>
        <w:ind w:left="720"/>
        <w:jc w:val="both"/>
      </w:pPr>
    </w:p>
    <w:p w14:paraId="44B1AD10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zrefundowanie wydatku poniesionego przez leasingodawcę na zakup przedmiotu leasingu w ramach leasingu finansowego, a następnie zrefundowanie rat opłacanych przez beneficjenta w związku z leasingiem tego przedmiotu,</w:t>
      </w:r>
    </w:p>
    <w:p w14:paraId="6F492490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sytuacja, w której środki na prefinansowanie wkładu unijnego zostały pozyskane w formie kredytu lub pożyczki, które następnie zostały umorzone,</w:t>
      </w:r>
    </w:p>
    <w:p w14:paraId="640C9BC6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objęcie kosztów kwalifikowalnych projektu jednocześnie wsparciem pożyczkowym i gwarancyjnym,</w:t>
      </w:r>
    </w:p>
    <w:p w14:paraId="52C0F7AF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zakup używanego środka trwałego, który w ciągu 7 poprzednich lat (10 lat dla nieruchomości) był współfinansowany ze środków Unii Europejskiej lub/oraz dotacji z krajowych środków publicznych,</w:t>
      </w:r>
    </w:p>
    <w:p w14:paraId="4FEADEF9" w14:textId="77777777" w:rsidR="00D765C8" w:rsidRPr="00D765C8" w:rsidRDefault="00D765C8" w:rsidP="00D765C8">
      <w:pPr>
        <w:numPr>
          <w:ilvl w:val="0"/>
          <w:numId w:val="2"/>
        </w:numPr>
        <w:spacing w:after="0"/>
        <w:jc w:val="both"/>
      </w:pPr>
      <w:r w:rsidRPr="00D765C8">
        <w:t>rozliczenie tego samego wydatku w kosztach pośrednich oraz kosztach bezpośrednich projektu.</w:t>
      </w:r>
    </w:p>
    <w:p w14:paraId="0078CD9A" w14:textId="77777777" w:rsidR="00D765C8" w:rsidRPr="00D765C8" w:rsidRDefault="00D765C8" w:rsidP="00D765C8">
      <w:pPr>
        <w:jc w:val="both"/>
      </w:pPr>
    </w:p>
    <w:p w14:paraId="7BE98ED3" w14:textId="77777777" w:rsidR="003F48CD" w:rsidRPr="00743F00" w:rsidRDefault="003F48CD" w:rsidP="003F48CD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sectPr w:rsidR="003F48CD" w:rsidRPr="00743F00" w:rsidSect="005E010C"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B2BF0" w14:textId="77777777" w:rsidR="009E2F19" w:rsidRPr="00A449D2" w:rsidRDefault="009E2F19" w:rsidP="00A449D2">
      <w:pPr>
        <w:spacing w:after="0" w:line="240" w:lineRule="auto"/>
      </w:pPr>
      <w:r>
        <w:separator/>
      </w:r>
    </w:p>
  </w:endnote>
  <w:endnote w:type="continuationSeparator" w:id="0">
    <w:p w14:paraId="68DE4ADA" w14:textId="77777777" w:rsidR="009E2F19" w:rsidRPr="00A449D2" w:rsidRDefault="009E2F19" w:rsidP="00A4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201FB" w14:textId="77777777" w:rsidR="009E2F19" w:rsidRPr="00A449D2" w:rsidRDefault="009E2F19" w:rsidP="00A449D2">
      <w:pPr>
        <w:spacing w:after="0" w:line="240" w:lineRule="auto"/>
      </w:pPr>
      <w:r>
        <w:separator/>
      </w:r>
    </w:p>
  </w:footnote>
  <w:footnote w:type="continuationSeparator" w:id="0">
    <w:p w14:paraId="595365B2" w14:textId="77777777" w:rsidR="009E2F19" w:rsidRPr="00A449D2" w:rsidRDefault="009E2F19" w:rsidP="00A4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09841" w14:textId="77777777" w:rsidR="005E010C" w:rsidRDefault="005E010C">
    <w:pPr>
      <w:pStyle w:val="Nagwek"/>
    </w:pPr>
    <w:r w:rsidRPr="003F48CD">
      <w:rPr>
        <w:noProof/>
        <w:lang w:eastAsia="pl-PL"/>
      </w:rPr>
      <w:drawing>
        <wp:inline distT="0" distB="0" distL="0" distR="0" wp14:anchorId="4A76C11B" wp14:editId="48DAF409">
          <wp:extent cx="5760720" cy="817245"/>
          <wp:effectExtent l="0" t="0" r="0" b="1905"/>
          <wp:docPr id="1" name="Obraz 1" descr="C:\Users\a.luczak\AppData\Local\Microsoft\Windows\Temporary Internet Files\Content.Outlook\7IP7UV0Z\poziom_achromat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luczak\AppData\Local\Microsoft\Windows\Temporary Internet Files\Content.Outlook\7IP7UV0Z\poziom_achromat (00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852D3"/>
    <w:multiLevelType w:val="hybridMultilevel"/>
    <w:tmpl w:val="BE205F0E"/>
    <w:lvl w:ilvl="0" w:tplc="0FB6400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A6BC5"/>
    <w:multiLevelType w:val="hybridMultilevel"/>
    <w:tmpl w:val="F810315E"/>
    <w:lvl w:ilvl="0" w:tplc="853E04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86D39C9"/>
    <w:multiLevelType w:val="hybridMultilevel"/>
    <w:tmpl w:val="6AF0D86A"/>
    <w:lvl w:ilvl="0" w:tplc="D4A2D2E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AC19BC"/>
    <w:multiLevelType w:val="hybridMultilevel"/>
    <w:tmpl w:val="071AE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11EDE"/>
    <w:multiLevelType w:val="hybridMultilevel"/>
    <w:tmpl w:val="AEA43842"/>
    <w:lvl w:ilvl="0" w:tplc="269A2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31365"/>
    <w:multiLevelType w:val="hybridMultilevel"/>
    <w:tmpl w:val="BB5E7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73507"/>
    <w:multiLevelType w:val="hybridMultilevel"/>
    <w:tmpl w:val="05BAEA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631B2"/>
    <w:multiLevelType w:val="hybridMultilevel"/>
    <w:tmpl w:val="59BAA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F5245"/>
    <w:multiLevelType w:val="hybridMultilevel"/>
    <w:tmpl w:val="F3F81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808ED"/>
    <w:multiLevelType w:val="hybridMultilevel"/>
    <w:tmpl w:val="62F26E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F5C8E"/>
    <w:multiLevelType w:val="hybridMultilevel"/>
    <w:tmpl w:val="0BBEB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5340F"/>
    <w:multiLevelType w:val="hybridMultilevel"/>
    <w:tmpl w:val="C87EFE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E7"/>
    <w:rsid w:val="000020FD"/>
    <w:rsid w:val="000234B2"/>
    <w:rsid w:val="00024D90"/>
    <w:rsid w:val="00026E9B"/>
    <w:rsid w:val="000426A4"/>
    <w:rsid w:val="00061B95"/>
    <w:rsid w:val="00063790"/>
    <w:rsid w:val="00066EAF"/>
    <w:rsid w:val="000706E9"/>
    <w:rsid w:val="000B430D"/>
    <w:rsid w:val="000B5C15"/>
    <w:rsid w:val="000D063A"/>
    <w:rsid w:val="000E003F"/>
    <w:rsid w:val="000E09E1"/>
    <w:rsid w:val="000E50A3"/>
    <w:rsid w:val="000E7CF2"/>
    <w:rsid w:val="000F228E"/>
    <w:rsid w:val="000F77E7"/>
    <w:rsid w:val="00101B1E"/>
    <w:rsid w:val="00107343"/>
    <w:rsid w:val="00113AF7"/>
    <w:rsid w:val="0011616B"/>
    <w:rsid w:val="001250C4"/>
    <w:rsid w:val="00126AA3"/>
    <w:rsid w:val="001329B9"/>
    <w:rsid w:val="00135DEE"/>
    <w:rsid w:val="001378B1"/>
    <w:rsid w:val="00142096"/>
    <w:rsid w:val="001457B7"/>
    <w:rsid w:val="00146641"/>
    <w:rsid w:val="001552BC"/>
    <w:rsid w:val="00186DC3"/>
    <w:rsid w:val="00187D0D"/>
    <w:rsid w:val="00194B9B"/>
    <w:rsid w:val="001B2E2E"/>
    <w:rsid w:val="001B5959"/>
    <w:rsid w:val="001C0525"/>
    <w:rsid w:val="001C645B"/>
    <w:rsid w:val="001C7AD2"/>
    <w:rsid w:val="001D741C"/>
    <w:rsid w:val="001E2AA8"/>
    <w:rsid w:val="001F0233"/>
    <w:rsid w:val="001F08D9"/>
    <w:rsid w:val="001F4246"/>
    <w:rsid w:val="0021033D"/>
    <w:rsid w:val="00227784"/>
    <w:rsid w:val="00231098"/>
    <w:rsid w:val="0024013C"/>
    <w:rsid w:val="00250DB2"/>
    <w:rsid w:val="00261415"/>
    <w:rsid w:val="00277447"/>
    <w:rsid w:val="00284C9C"/>
    <w:rsid w:val="00284CE0"/>
    <w:rsid w:val="00293DCB"/>
    <w:rsid w:val="002B2FF5"/>
    <w:rsid w:val="002E3347"/>
    <w:rsid w:val="002E6C6B"/>
    <w:rsid w:val="003007C0"/>
    <w:rsid w:val="00302BDD"/>
    <w:rsid w:val="00312F1A"/>
    <w:rsid w:val="0031425A"/>
    <w:rsid w:val="00316BCF"/>
    <w:rsid w:val="00317BB1"/>
    <w:rsid w:val="00320698"/>
    <w:rsid w:val="00326E37"/>
    <w:rsid w:val="00330C45"/>
    <w:rsid w:val="003324D8"/>
    <w:rsid w:val="00340ADB"/>
    <w:rsid w:val="00344FC2"/>
    <w:rsid w:val="00360451"/>
    <w:rsid w:val="003701ED"/>
    <w:rsid w:val="0037725C"/>
    <w:rsid w:val="00380438"/>
    <w:rsid w:val="003C7367"/>
    <w:rsid w:val="003D6FC7"/>
    <w:rsid w:val="003E370F"/>
    <w:rsid w:val="003F102F"/>
    <w:rsid w:val="003F48CD"/>
    <w:rsid w:val="003F4B5A"/>
    <w:rsid w:val="003F7936"/>
    <w:rsid w:val="00400EE6"/>
    <w:rsid w:val="00415F82"/>
    <w:rsid w:val="00430D91"/>
    <w:rsid w:val="00437D2C"/>
    <w:rsid w:val="00440B40"/>
    <w:rsid w:val="004463B3"/>
    <w:rsid w:val="00447028"/>
    <w:rsid w:val="00451B06"/>
    <w:rsid w:val="004718E5"/>
    <w:rsid w:val="004744C9"/>
    <w:rsid w:val="00481DCC"/>
    <w:rsid w:val="004829D4"/>
    <w:rsid w:val="004A2FAC"/>
    <w:rsid w:val="004C5CCF"/>
    <w:rsid w:val="004C7E68"/>
    <w:rsid w:val="004D39B1"/>
    <w:rsid w:val="004D5E58"/>
    <w:rsid w:val="004E4178"/>
    <w:rsid w:val="00512245"/>
    <w:rsid w:val="0052415F"/>
    <w:rsid w:val="00534339"/>
    <w:rsid w:val="005478C4"/>
    <w:rsid w:val="00552C8F"/>
    <w:rsid w:val="00555B63"/>
    <w:rsid w:val="00582C3B"/>
    <w:rsid w:val="005A7498"/>
    <w:rsid w:val="005B5B5F"/>
    <w:rsid w:val="005C007F"/>
    <w:rsid w:val="005C148A"/>
    <w:rsid w:val="005D1BE0"/>
    <w:rsid w:val="005D65CA"/>
    <w:rsid w:val="005D7716"/>
    <w:rsid w:val="005E0052"/>
    <w:rsid w:val="005E010C"/>
    <w:rsid w:val="005E30F2"/>
    <w:rsid w:val="005E4044"/>
    <w:rsid w:val="005E4954"/>
    <w:rsid w:val="005E4F96"/>
    <w:rsid w:val="00611C64"/>
    <w:rsid w:val="00636C2C"/>
    <w:rsid w:val="006425F8"/>
    <w:rsid w:val="006452CF"/>
    <w:rsid w:val="00646734"/>
    <w:rsid w:val="00647A5C"/>
    <w:rsid w:val="00651ACB"/>
    <w:rsid w:val="00657967"/>
    <w:rsid w:val="0066584D"/>
    <w:rsid w:val="00667C73"/>
    <w:rsid w:val="0069292A"/>
    <w:rsid w:val="006A4596"/>
    <w:rsid w:val="006B1E5B"/>
    <w:rsid w:val="006B7152"/>
    <w:rsid w:val="006B764E"/>
    <w:rsid w:val="006C1CDA"/>
    <w:rsid w:val="006C721E"/>
    <w:rsid w:val="006D20E2"/>
    <w:rsid w:val="006D39B5"/>
    <w:rsid w:val="006E29A5"/>
    <w:rsid w:val="006E55B1"/>
    <w:rsid w:val="006E789B"/>
    <w:rsid w:val="006F6AFC"/>
    <w:rsid w:val="00704A09"/>
    <w:rsid w:val="007115BD"/>
    <w:rsid w:val="00712236"/>
    <w:rsid w:val="00717C32"/>
    <w:rsid w:val="0072338C"/>
    <w:rsid w:val="00743F00"/>
    <w:rsid w:val="00755573"/>
    <w:rsid w:val="00757796"/>
    <w:rsid w:val="00761823"/>
    <w:rsid w:val="007655B7"/>
    <w:rsid w:val="007857FB"/>
    <w:rsid w:val="00790C12"/>
    <w:rsid w:val="00790D95"/>
    <w:rsid w:val="007B1EA0"/>
    <w:rsid w:val="007B4F28"/>
    <w:rsid w:val="007B53A9"/>
    <w:rsid w:val="007C4DF2"/>
    <w:rsid w:val="007C5A4C"/>
    <w:rsid w:val="007D52C8"/>
    <w:rsid w:val="007D708A"/>
    <w:rsid w:val="007E0D58"/>
    <w:rsid w:val="007F00AC"/>
    <w:rsid w:val="007F1A33"/>
    <w:rsid w:val="007F51A0"/>
    <w:rsid w:val="0080082E"/>
    <w:rsid w:val="00832770"/>
    <w:rsid w:val="00833D78"/>
    <w:rsid w:val="00836AF9"/>
    <w:rsid w:val="00854016"/>
    <w:rsid w:val="00854309"/>
    <w:rsid w:val="00882A59"/>
    <w:rsid w:val="00892E6F"/>
    <w:rsid w:val="00894657"/>
    <w:rsid w:val="008974D1"/>
    <w:rsid w:val="008A0FB1"/>
    <w:rsid w:val="008A13A2"/>
    <w:rsid w:val="008B7F80"/>
    <w:rsid w:val="008C1A4D"/>
    <w:rsid w:val="008D2047"/>
    <w:rsid w:val="008D667A"/>
    <w:rsid w:val="008E4ADA"/>
    <w:rsid w:val="008E519C"/>
    <w:rsid w:val="008F5344"/>
    <w:rsid w:val="00926F59"/>
    <w:rsid w:val="00942450"/>
    <w:rsid w:val="00947BA1"/>
    <w:rsid w:val="00950AA7"/>
    <w:rsid w:val="0096141D"/>
    <w:rsid w:val="00964F85"/>
    <w:rsid w:val="00966023"/>
    <w:rsid w:val="009662BC"/>
    <w:rsid w:val="0097195D"/>
    <w:rsid w:val="00984130"/>
    <w:rsid w:val="009908DF"/>
    <w:rsid w:val="00995DB0"/>
    <w:rsid w:val="00996E39"/>
    <w:rsid w:val="009B7085"/>
    <w:rsid w:val="009D4D3C"/>
    <w:rsid w:val="009E2F19"/>
    <w:rsid w:val="009E4220"/>
    <w:rsid w:val="009F4CA4"/>
    <w:rsid w:val="00A151F6"/>
    <w:rsid w:val="00A215A1"/>
    <w:rsid w:val="00A26A9E"/>
    <w:rsid w:val="00A27CA6"/>
    <w:rsid w:val="00A35ACC"/>
    <w:rsid w:val="00A40CD2"/>
    <w:rsid w:val="00A449D2"/>
    <w:rsid w:val="00A51F26"/>
    <w:rsid w:val="00A77B9D"/>
    <w:rsid w:val="00A945FF"/>
    <w:rsid w:val="00A96B87"/>
    <w:rsid w:val="00AA1BB1"/>
    <w:rsid w:val="00AA63D8"/>
    <w:rsid w:val="00AB1EDC"/>
    <w:rsid w:val="00AB4A3E"/>
    <w:rsid w:val="00AC0B2F"/>
    <w:rsid w:val="00AD0FE5"/>
    <w:rsid w:val="00AD1845"/>
    <w:rsid w:val="00AD1A6C"/>
    <w:rsid w:val="00B04F53"/>
    <w:rsid w:val="00B07242"/>
    <w:rsid w:val="00B27F6F"/>
    <w:rsid w:val="00B30923"/>
    <w:rsid w:val="00B32E65"/>
    <w:rsid w:val="00B33039"/>
    <w:rsid w:val="00B35EE7"/>
    <w:rsid w:val="00B41730"/>
    <w:rsid w:val="00B50B9A"/>
    <w:rsid w:val="00B578F6"/>
    <w:rsid w:val="00B6299A"/>
    <w:rsid w:val="00B62E6D"/>
    <w:rsid w:val="00B73D9C"/>
    <w:rsid w:val="00B8090E"/>
    <w:rsid w:val="00B912C3"/>
    <w:rsid w:val="00BA7C53"/>
    <w:rsid w:val="00BB7AED"/>
    <w:rsid w:val="00BC1171"/>
    <w:rsid w:val="00C072A6"/>
    <w:rsid w:val="00C07D73"/>
    <w:rsid w:val="00C1292F"/>
    <w:rsid w:val="00C154E8"/>
    <w:rsid w:val="00C2245F"/>
    <w:rsid w:val="00C22CA5"/>
    <w:rsid w:val="00C32BFF"/>
    <w:rsid w:val="00C32DCC"/>
    <w:rsid w:val="00C55A7A"/>
    <w:rsid w:val="00C55CE4"/>
    <w:rsid w:val="00C64746"/>
    <w:rsid w:val="00C648C7"/>
    <w:rsid w:val="00C7029D"/>
    <w:rsid w:val="00C70D2D"/>
    <w:rsid w:val="00C94DFF"/>
    <w:rsid w:val="00C953F9"/>
    <w:rsid w:val="00CB32ED"/>
    <w:rsid w:val="00CC1DAD"/>
    <w:rsid w:val="00CC3D0C"/>
    <w:rsid w:val="00CD29AC"/>
    <w:rsid w:val="00D01249"/>
    <w:rsid w:val="00D02FEF"/>
    <w:rsid w:val="00D12B39"/>
    <w:rsid w:val="00D35AEC"/>
    <w:rsid w:val="00D3622F"/>
    <w:rsid w:val="00D50047"/>
    <w:rsid w:val="00D52168"/>
    <w:rsid w:val="00D55E1F"/>
    <w:rsid w:val="00D6604D"/>
    <w:rsid w:val="00D765C8"/>
    <w:rsid w:val="00D81C36"/>
    <w:rsid w:val="00D944E4"/>
    <w:rsid w:val="00D96410"/>
    <w:rsid w:val="00DA1462"/>
    <w:rsid w:val="00DA3053"/>
    <w:rsid w:val="00DD5AD2"/>
    <w:rsid w:val="00DD738D"/>
    <w:rsid w:val="00DE086C"/>
    <w:rsid w:val="00E02C7C"/>
    <w:rsid w:val="00E07984"/>
    <w:rsid w:val="00E31F1E"/>
    <w:rsid w:val="00E32BAB"/>
    <w:rsid w:val="00E4170A"/>
    <w:rsid w:val="00E4630A"/>
    <w:rsid w:val="00E5287E"/>
    <w:rsid w:val="00E701DA"/>
    <w:rsid w:val="00E774D0"/>
    <w:rsid w:val="00E92BC5"/>
    <w:rsid w:val="00EB032C"/>
    <w:rsid w:val="00EB1203"/>
    <w:rsid w:val="00EB1FB1"/>
    <w:rsid w:val="00EC28DB"/>
    <w:rsid w:val="00ED12FD"/>
    <w:rsid w:val="00ED6F64"/>
    <w:rsid w:val="00ED73D7"/>
    <w:rsid w:val="00EE3BC9"/>
    <w:rsid w:val="00EF4346"/>
    <w:rsid w:val="00F056C9"/>
    <w:rsid w:val="00F20DE1"/>
    <w:rsid w:val="00F2591B"/>
    <w:rsid w:val="00F36959"/>
    <w:rsid w:val="00F4165D"/>
    <w:rsid w:val="00F51CCE"/>
    <w:rsid w:val="00F95A14"/>
    <w:rsid w:val="00FA57D1"/>
    <w:rsid w:val="00FA5BDF"/>
    <w:rsid w:val="00FB1BB7"/>
    <w:rsid w:val="00FC27B5"/>
    <w:rsid w:val="00FC792B"/>
    <w:rsid w:val="00FE0C3B"/>
    <w:rsid w:val="00FE12B4"/>
    <w:rsid w:val="00FE1A25"/>
    <w:rsid w:val="00FE60DC"/>
    <w:rsid w:val="00FE70C3"/>
    <w:rsid w:val="00FF1937"/>
    <w:rsid w:val="00FF20B2"/>
    <w:rsid w:val="00FF24DA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B9A07"/>
  <w15:docId w15:val="{F95CFF27-F1F0-485D-82B0-52E97D44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CB"/>
  </w:style>
  <w:style w:type="paragraph" w:styleId="Nagwek3">
    <w:name w:val="heading 3"/>
    <w:basedOn w:val="Normalny"/>
    <w:next w:val="Normalny"/>
    <w:link w:val="Nagwek3Znak"/>
    <w:uiPriority w:val="99"/>
    <w:qFormat/>
    <w:rsid w:val="00947BA1"/>
    <w:pPr>
      <w:keepNext/>
      <w:autoSpaceDE w:val="0"/>
      <w:autoSpaceDN w:val="0"/>
      <w:spacing w:after="0"/>
      <w:jc w:val="both"/>
      <w:outlineLvl w:val="2"/>
    </w:pPr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qFormat/>
    <w:rsid w:val="00B35E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9D2"/>
  </w:style>
  <w:style w:type="paragraph" w:styleId="Stopka">
    <w:name w:val="footer"/>
    <w:basedOn w:val="Normalny"/>
    <w:link w:val="StopkaZnak"/>
    <w:uiPriority w:val="99"/>
    <w:unhideWhenUsed/>
    <w:rsid w:val="00A4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9D2"/>
  </w:style>
  <w:style w:type="paragraph" w:styleId="Tekstdymka">
    <w:name w:val="Balloon Text"/>
    <w:basedOn w:val="Normalny"/>
    <w:link w:val="TekstdymkaZnak"/>
    <w:uiPriority w:val="99"/>
    <w:semiHidden/>
    <w:unhideWhenUsed/>
    <w:rsid w:val="00A4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9D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5C00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0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0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0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07F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50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Numerowanie,List Paragraph"/>
    <w:basedOn w:val="Normalny"/>
    <w:link w:val="AkapitzlistZnak"/>
    <w:uiPriority w:val="34"/>
    <w:qFormat/>
    <w:rsid w:val="00C953F9"/>
    <w:pPr>
      <w:spacing w:before="200" w:after="0" w:line="320" w:lineRule="atLeast"/>
      <w:ind w:left="708"/>
    </w:pPr>
    <w:rPr>
      <w:rFonts w:ascii="Calibri" w:eastAsia="Calibri" w:hAnsi="Calibri" w:cs="Times New Roman"/>
      <w:szCs w:val="20"/>
      <w:lang w:eastAsia="pl-PL"/>
    </w:rPr>
  </w:style>
  <w:style w:type="character" w:customStyle="1" w:styleId="AkapitzlistZnak">
    <w:name w:val="Akapit z listą Znak"/>
    <w:aliases w:val="Akapit z listą BS Znak,Numerowanie Znak,List Paragraph Znak"/>
    <w:link w:val="Akapitzlist"/>
    <w:uiPriority w:val="34"/>
    <w:qFormat/>
    <w:locked/>
    <w:rsid w:val="00C953F9"/>
    <w:rPr>
      <w:rFonts w:ascii="Calibri" w:eastAsia="Calibri" w:hAnsi="Calibri" w:cs="Times New Roman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947BA1"/>
    <w:rPr>
      <w:rFonts w:ascii="Calibri" w:eastAsia="Times New Roman" w:hAnsi="Calibri" w:cs="Times New Roman"/>
      <w:b/>
      <w:bCs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790C1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0C12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0C12"/>
    <w:rPr>
      <w:rFonts w:ascii="Calibri" w:eastAsia="Calibri" w:hAnsi="Calibri" w:cs="Times New Roman"/>
      <w:sz w:val="20"/>
      <w:szCs w:val="20"/>
      <w:lang w:val="x-none"/>
    </w:rPr>
  </w:style>
  <w:style w:type="paragraph" w:styleId="Poprawka">
    <w:name w:val="Revision"/>
    <w:hidden/>
    <w:uiPriority w:val="99"/>
    <w:semiHidden/>
    <w:rsid w:val="00C07D73"/>
    <w:pPr>
      <w:spacing w:after="0" w:line="240" w:lineRule="auto"/>
    </w:pPr>
  </w:style>
  <w:style w:type="character" w:customStyle="1" w:styleId="DefaultZnak">
    <w:name w:val="Default Znak"/>
    <w:link w:val="Default"/>
    <w:rsid w:val="00A40CD2"/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C93E-0963-45DD-9764-657B06F3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1133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Mucha</dc:creator>
  <cp:lastModifiedBy>Kamila Kołoszko</cp:lastModifiedBy>
  <cp:revision>5</cp:revision>
  <cp:lastPrinted>2018-04-17T09:35:00Z</cp:lastPrinted>
  <dcterms:created xsi:type="dcterms:W3CDTF">2019-04-26T10:16:00Z</dcterms:created>
  <dcterms:modified xsi:type="dcterms:W3CDTF">2020-11-27T11:07:00Z</dcterms:modified>
</cp:coreProperties>
</file>