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AA99" w14:textId="058CDD5E"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 xml:space="preserve">Zał. 1 do Ogłoszenia o naborze </w:t>
      </w:r>
      <w:r w:rsidR="00E41BF1">
        <w:rPr>
          <w:rFonts w:eastAsia="Times New Roman" w:cstheme="minorHAnsi"/>
          <w:i/>
          <w:szCs w:val="28"/>
          <w:lang w:eastAsia="pl-PL"/>
        </w:rPr>
        <w:t>2</w:t>
      </w:r>
      <w:r w:rsidRPr="00B01F35">
        <w:rPr>
          <w:rFonts w:eastAsia="Times New Roman" w:cstheme="minorHAnsi"/>
          <w:i/>
          <w:szCs w:val="28"/>
          <w:lang w:eastAsia="pl-PL"/>
        </w:rPr>
        <w:t>/G/20</w:t>
      </w:r>
      <w:r w:rsidR="006A4041">
        <w:rPr>
          <w:rFonts w:eastAsia="Times New Roman" w:cstheme="minorHAnsi"/>
          <w:i/>
          <w:szCs w:val="28"/>
          <w:lang w:eastAsia="pl-PL"/>
        </w:rPr>
        <w:t>20</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66742A"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66742A"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59456C"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End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3EC732CE"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3</w:t>
            </w:r>
          </w:p>
        </w:tc>
        <w:tc>
          <w:tcPr>
            <w:tcW w:w="5387" w:type="dxa"/>
            <w:vAlign w:val="center"/>
          </w:tcPr>
          <w:p w14:paraId="61FA729B" w14:textId="1D55D34B" w:rsidR="005F24A5" w:rsidRPr="00B01F35" w:rsidRDefault="005F24A5" w:rsidP="005F24A5">
            <w:pP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53F1D6E0"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7FBB1D32" w14:textId="79C7A10D" w:rsidR="005F24A5" w:rsidRPr="00B01F35" w:rsidRDefault="00FA5B8B" w:rsidP="005F24A5">
            <w:pPr>
              <w:rPr>
                <w:rFonts w:ascii="Bookman Old Style" w:hAnsi="Bookman Old Style"/>
                <w:sz w:val="16"/>
                <w:szCs w:val="16"/>
              </w:rPr>
            </w:pPr>
            <w:r w:rsidRPr="00FA5B8B">
              <w:rPr>
                <w:rFonts w:ascii="Bookman Old Style" w:hAnsi="Bookman Old Style"/>
                <w:sz w:val="16"/>
                <w:szCs w:val="16"/>
              </w:rPr>
              <w:t xml:space="preserve">Źródło pomiaru: dokumenty </w:t>
            </w:r>
            <w:proofErr w:type="spellStart"/>
            <w:r w:rsidRPr="00FA5B8B">
              <w:rPr>
                <w:rFonts w:ascii="Bookman Old Style" w:hAnsi="Bookman Old Style"/>
                <w:sz w:val="16"/>
                <w:szCs w:val="16"/>
              </w:rPr>
              <w:t>potw</w:t>
            </w:r>
            <w:proofErr w:type="spellEnd"/>
            <w:r w:rsidRPr="00FA5B8B">
              <w:rPr>
                <w:rFonts w:ascii="Bookman Old Style" w:hAnsi="Bookman Old Style"/>
                <w:sz w:val="16"/>
                <w:szCs w:val="16"/>
              </w:rPr>
              <w:t>. postęp w procesie aktywizacji społecznej np.: opinia psychologa, pedagoga, terapeuty, pracownika socjalnego o samodzielności odnosząca się do działań, zaświadczenia z różnych instytucji/</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podjęciu nauki;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podjęciu/ukończeniu terapii uzależnienia/</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rozpoczęciu udziału w zajęciach w ramach CIS,KIS/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 wolontariatu</w:t>
            </w:r>
            <w:r>
              <w:rPr>
                <w:rFonts w:ascii="Bookman Old Style" w:hAnsi="Bookman Old Style"/>
                <w:sz w:val="16"/>
                <w:szCs w:val="16"/>
              </w:rPr>
              <w:t xml:space="preserve"> </w:t>
            </w:r>
          </w:p>
          <w:p w14:paraId="485BFED3" w14:textId="167F8337" w:rsidR="005F24A5" w:rsidRPr="00B01F35" w:rsidRDefault="005F24A5" w:rsidP="005F24A5">
            <w:pPr>
              <w:rPr>
                <w:rFonts w:ascii="Bookman Old Style" w:hAnsi="Bookman Old Style"/>
                <w:sz w:val="16"/>
                <w:szCs w:val="16"/>
              </w:rPr>
            </w:pPr>
          </w:p>
          <w:p w14:paraId="34D98C94" w14:textId="77777777" w:rsidR="005F24A5" w:rsidRPr="00B01F35" w:rsidRDefault="005F24A5" w:rsidP="005F24A5">
            <w:pPr>
              <w:rPr>
                <w:rFonts w:ascii="Bookman Old Style" w:hAnsi="Bookman Old Style"/>
                <w:sz w:val="16"/>
                <w:szCs w:val="16"/>
              </w:rPr>
            </w:pPr>
          </w:p>
          <w:p w14:paraId="0C4BC1A4"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Sposób pomiaru: do 4</w:t>
            </w:r>
          </w:p>
          <w:p w14:paraId="6576769F" w14:textId="51507403"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tyg. następujących po zakończeniu udziału uczestnika w projekcie</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lastRenderedPageBreak/>
              <w:t>1</w:t>
            </w:r>
          </w:p>
        </w:tc>
        <w:tc>
          <w:tcPr>
            <w:tcW w:w="5387" w:type="dxa"/>
            <w:vAlign w:val="center"/>
          </w:tcPr>
          <w:p w14:paraId="245F9238" w14:textId="77777777" w:rsidR="00D7069B" w:rsidRPr="00B01F35" w:rsidRDefault="00D7069B" w:rsidP="002B52B3">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017937DA"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0284FBBE" w14:textId="7F7D6BEF"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 xml:space="preserve">Źródło pomiaru: listy obecności, umowa z uczestnikiem wraz </w:t>
            </w:r>
            <w:r w:rsidR="005F735D" w:rsidRPr="00B01F35">
              <w:rPr>
                <w:rFonts w:ascii="Bookman Old Style" w:hAnsi="Bookman Old Style"/>
                <w:sz w:val="16"/>
                <w:szCs w:val="16"/>
              </w:rPr>
              <w:br/>
            </w:r>
            <w:r w:rsidRPr="00B01F35">
              <w:rPr>
                <w:rFonts w:ascii="Bookman Old Style" w:hAnsi="Bookman Old Style"/>
                <w:sz w:val="16"/>
                <w:szCs w:val="16"/>
              </w:rPr>
              <w:t>z oświadczeniem, że jest on członkiem otoczenia osoby wykluczonej, biorącej udział w projekcie.</w:t>
            </w:r>
          </w:p>
          <w:p w14:paraId="42BA6132" w14:textId="77777777" w:rsidR="00D7069B" w:rsidRPr="00B01F35" w:rsidRDefault="00D7069B" w:rsidP="005F735D">
            <w:pPr>
              <w:jc w:val="both"/>
              <w:rPr>
                <w:rFonts w:ascii="Bookman Old Style" w:hAnsi="Bookman Old Style"/>
                <w:sz w:val="16"/>
                <w:szCs w:val="16"/>
              </w:rPr>
            </w:pPr>
          </w:p>
          <w:p w14:paraId="032F9C58" w14:textId="77777777"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1461A31E" w14:textId="77777777" w:rsidTr="00E67757">
        <w:trPr>
          <w:trHeight w:val="567"/>
        </w:trPr>
        <w:tc>
          <w:tcPr>
            <w:tcW w:w="567" w:type="dxa"/>
            <w:vAlign w:val="center"/>
          </w:tcPr>
          <w:p w14:paraId="4AC2701B" w14:textId="6F7AB281" w:rsidR="004B1964" w:rsidRPr="00B01F35" w:rsidRDefault="0066742A" w:rsidP="004B196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2053A409" w14:textId="4520E618"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43C8BA25" w14:textId="20795D1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69A0539" w14:textId="77777777" w:rsidR="004B1964" w:rsidRPr="00B01F35" w:rsidRDefault="004B1964" w:rsidP="004B1964">
            <w:pPr>
              <w:rPr>
                <w:rFonts w:ascii="Bookman Old Style" w:hAnsi="Bookman Old Style"/>
                <w:sz w:val="16"/>
                <w:szCs w:val="16"/>
              </w:rPr>
            </w:pPr>
          </w:p>
        </w:tc>
        <w:tc>
          <w:tcPr>
            <w:tcW w:w="851" w:type="dxa"/>
            <w:vAlign w:val="center"/>
          </w:tcPr>
          <w:p w14:paraId="5DC6FEC6" w14:textId="77777777" w:rsidR="004B1964" w:rsidRPr="00B01F35" w:rsidRDefault="004B1964" w:rsidP="004B1964">
            <w:pPr>
              <w:rPr>
                <w:rFonts w:ascii="Bookman Old Style" w:hAnsi="Bookman Old Style"/>
                <w:sz w:val="16"/>
                <w:szCs w:val="16"/>
              </w:rPr>
            </w:pPr>
          </w:p>
        </w:tc>
        <w:tc>
          <w:tcPr>
            <w:tcW w:w="992" w:type="dxa"/>
            <w:vAlign w:val="center"/>
          </w:tcPr>
          <w:p w14:paraId="3628CC12" w14:textId="77777777" w:rsidR="004B1964" w:rsidRPr="00B01F35" w:rsidRDefault="004B1964" w:rsidP="004B1964">
            <w:pPr>
              <w:rPr>
                <w:rFonts w:ascii="Bookman Old Style" w:hAnsi="Bookman Old Style"/>
                <w:sz w:val="16"/>
                <w:szCs w:val="16"/>
              </w:rPr>
            </w:pPr>
          </w:p>
        </w:tc>
        <w:tc>
          <w:tcPr>
            <w:tcW w:w="5245" w:type="dxa"/>
          </w:tcPr>
          <w:p w14:paraId="1A14D265"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i karty doradztwa</w:t>
            </w:r>
          </w:p>
          <w:p w14:paraId="562995B8" w14:textId="2BD8357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Efektywność społeczna</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206AEE89" w14:textId="61E5C710" w:rsidR="004B1964" w:rsidRDefault="00FA5B8B" w:rsidP="004B1964">
            <w:pPr>
              <w:jc w:val="both"/>
              <w:rPr>
                <w:rFonts w:ascii="Bookman Old Style" w:hAnsi="Bookman Old Style"/>
                <w:sz w:val="16"/>
                <w:szCs w:val="16"/>
              </w:rPr>
            </w:pPr>
            <w:r w:rsidRPr="00FA5B8B">
              <w:rPr>
                <w:rFonts w:ascii="Bookman Old Style" w:hAnsi="Bookman Old Style"/>
                <w:sz w:val="16"/>
                <w:szCs w:val="16"/>
              </w:rPr>
              <w:t xml:space="preserve">Źródło pomiaru: dokumenty </w:t>
            </w:r>
            <w:proofErr w:type="spellStart"/>
            <w:r w:rsidRPr="00FA5B8B">
              <w:rPr>
                <w:rFonts w:ascii="Bookman Old Style" w:hAnsi="Bookman Old Style"/>
                <w:sz w:val="16"/>
                <w:szCs w:val="16"/>
              </w:rPr>
              <w:t>potw</w:t>
            </w:r>
            <w:proofErr w:type="spellEnd"/>
            <w:r w:rsidRPr="00FA5B8B">
              <w:rPr>
                <w:rFonts w:ascii="Bookman Old Style" w:hAnsi="Bookman Old Style"/>
                <w:sz w:val="16"/>
                <w:szCs w:val="16"/>
              </w:rPr>
              <w:t>. postęp w procesie aktywizacji społecznej np.: opinia psychologa, pedagoga, terapeuty, pracownika socjalnego o samodzielności odnosząca się do działań, zaświadczenia z różnych instytucji/</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podjęciu nauki;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podjęciu/ukończeniu terapii uzależnienia/</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rozpoczęciu udziału w zajęciach w ramach CIS,KIS/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 wolontariatu.</w:t>
            </w:r>
          </w:p>
          <w:p w14:paraId="4712A76D" w14:textId="77777777" w:rsidR="00FA5B8B" w:rsidRPr="00B01F35" w:rsidRDefault="00FA5B8B" w:rsidP="004B1964">
            <w:pPr>
              <w:jc w:val="both"/>
              <w:rPr>
                <w:rFonts w:ascii="Bookman Old Style" w:hAnsi="Bookman Old Style"/>
                <w:sz w:val="16"/>
                <w:szCs w:val="16"/>
              </w:rPr>
            </w:pPr>
          </w:p>
          <w:p w14:paraId="414DB152"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3 miesięcy następujących po zakończeniu udziału uczestnika w projekcie.</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69133380"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65B84AE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dokumenty potwierdzające postęp w procesie aktywizacji społecznej np.: certyfikat, świadectwo potwierdzające efekty szkolenia, program szkolenia, liczbę zrealizowanych godzin, test, opinia psychologa, pracownika</w:t>
            </w:r>
          </w:p>
          <w:p w14:paraId="6A1EF4C8"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socjalnego. </w:t>
            </w:r>
          </w:p>
          <w:p w14:paraId="40A18D93" w14:textId="77777777" w:rsidR="004B1964" w:rsidRPr="00B01F35" w:rsidRDefault="004B1964" w:rsidP="004B1964">
            <w:pPr>
              <w:jc w:val="both"/>
              <w:rPr>
                <w:rFonts w:ascii="Bookman Old Style" w:hAnsi="Bookman Old Style"/>
                <w:sz w:val="16"/>
                <w:szCs w:val="16"/>
              </w:rPr>
            </w:pPr>
          </w:p>
          <w:p w14:paraId="10C10FF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4 tygodni następujących po zakończeniu udziału uczestnika w projekcie.</w:t>
            </w: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66742A">
        <w:trPr>
          <w:trHeight w:val="893"/>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59456C">
              <w:rPr>
                <w:rFonts w:ascii="Bookman Old Style" w:eastAsia="Times New Roman" w:hAnsi="Bookman Old Style" w:cs="Times New Roman"/>
                <w:lang w:eastAsia="pl-PL"/>
              </w:rPr>
            </w:r>
            <w:r w:rsidR="0059456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6CF6E" w14:textId="77777777" w:rsidR="0059456C" w:rsidRDefault="0059456C" w:rsidP="00620784">
      <w:pPr>
        <w:spacing w:after="0" w:line="240" w:lineRule="auto"/>
      </w:pPr>
      <w:r>
        <w:separator/>
      </w:r>
    </w:p>
  </w:endnote>
  <w:endnote w:type="continuationSeparator" w:id="0">
    <w:p w14:paraId="0E6CBC3C" w14:textId="77777777" w:rsidR="0059456C" w:rsidRDefault="0059456C"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647565"/>
      <w:docPartObj>
        <w:docPartGallery w:val="Page Numbers (Bottom of Page)"/>
        <w:docPartUnique/>
      </w:docPartObj>
    </w:sdtPr>
    <w:sdtEndPr/>
    <w:sdtContent>
      <w:p w14:paraId="5187D4B1" w14:textId="7250B031" w:rsidR="00813F57" w:rsidRPr="00EE3A85" w:rsidRDefault="00813F57">
        <w:pPr>
          <w:pStyle w:val="Stopka"/>
          <w:jc w:val="right"/>
        </w:pPr>
        <w:r w:rsidRPr="00EE3A85">
          <w:fldChar w:fldCharType="begin"/>
        </w:r>
        <w:r w:rsidRPr="00EE3A85">
          <w:instrText>PAGE   \* MERGEFORMAT</w:instrText>
        </w:r>
        <w:r w:rsidRPr="00EE3A85">
          <w:fldChar w:fldCharType="separate"/>
        </w:r>
        <w:r w:rsidR="00D01B46">
          <w:rPr>
            <w:noProof/>
          </w:rPr>
          <w:t>11</w:t>
        </w:r>
        <w:r w:rsidRPr="00EE3A85">
          <w:fldChar w:fldCharType="end"/>
        </w:r>
      </w:p>
    </w:sdtContent>
  </w:sdt>
  <w:p w14:paraId="6489975A" w14:textId="77777777" w:rsidR="00813F57" w:rsidRDefault="00813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590EE" w14:textId="77777777" w:rsidR="0059456C" w:rsidRDefault="0059456C" w:rsidP="00620784">
      <w:pPr>
        <w:spacing w:after="0" w:line="240" w:lineRule="auto"/>
      </w:pPr>
      <w:r>
        <w:separator/>
      </w:r>
    </w:p>
  </w:footnote>
  <w:footnote w:type="continuationSeparator" w:id="0">
    <w:p w14:paraId="3529E9AE" w14:textId="77777777" w:rsidR="0059456C" w:rsidRDefault="0059456C" w:rsidP="00620784">
      <w:pPr>
        <w:spacing w:after="0" w:line="240" w:lineRule="auto"/>
      </w:pPr>
      <w:r>
        <w:continuationSeparator/>
      </w:r>
    </w:p>
  </w:footnote>
  <w:footnote w:id="1">
    <w:p w14:paraId="49E7E287" w14:textId="2D38FE81" w:rsidR="00813F57" w:rsidRPr="0013409A" w:rsidRDefault="00813F57">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813F57" w:rsidRDefault="00813F57"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813F57" w:rsidRPr="009E4D9B" w:rsidRDefault="00813F57"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813F57" w:rsidRPr="008A0198" w:rsidRDefault="00813F57"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813F57" w:rsidRPr="009A09B1" w:rsidRDefault="00813F57"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7D3A" w14:textId="1F131886" w:rsidR="00813F57" w:rsidRPr="00936F42" w:rsidRDefault="00813F57"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01A"/>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92C"/>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456C"/>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42A"/>
    <w:rsid w:val="0066782A"/>
    <w:rsid w:val="006714B2"/>
    <w:rsid w:val="006728FC"/>
    <w:rsid w:val="00672AAD"/>
    <w:rsid w:val="00680C7C"/>
    <w:rsid w:val="00680D4C"/>
    <w:rsid w:val="00680FD2"/>
    <w:rsid w:val="00681207"/>
    <w:rsid w:val="006829B5"/>
    <w:rsid w:val="0068686F"/>
    <w:rsid w:val="00690E61"/>
    <w:rsid w:val="00691CEF"/>
    <w:rsid w:val="00692A1D"/>
    <w:rsid w:val="00693364"/>
    <w:rsid w:val="00693AE9"/>
    <w:rsid w:val="00694EFE"/>
    <w:rsid w:val="006A0819"/>
    <w:rsid w:val="006A175F"/>
    <w:rsid w:val="006A22B4"/>
    <w:rsid w:val="006A4041"/>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6BF1"/>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1BF1"/>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5B8B"/>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D876-6C50-437A-860D-C287511F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5310</Words>
  <Characters>31863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Dla Miasta Torunia</cp:lastModifiedBy>
  <cp:revision>2</cp:revision>
  <cp:lastPrinted>2018-05-30T08:03:00Z</cp:lastPrinted>
  <dcterms:created xsi:type="dcterms:W3CDTF">2020-12-09T08:32:00Z</dcterms:created>
  <dcterms:modified xsi:type="dcterms:W3CDTF">2020-12-09T08:32:00Z</dcterms:modified>
</cp:coreProperties>
</file>