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D5C0" w14:textId="77777777" w:rsidR="006B1908" w:rsidRPr="006B1908" w:rsidRDefault="006B1908" w:rsidP="006B1908">
      <w:pPr>
        <w:spacing w:after="0" w:line="276" w:lineRule="auto"/>
        <w:rPr>
          <w:rFonts w:cstheme="minorHAnsi"/>
        </w:rPr>
      </w:pPr>
      <w:r w:rsidRPr="006B1908">
        <w:rPr>
          <w:rFonts w:cstheme="minorHAnsi"/>
          <w:b/>
        </w:rPr>
        <w:t>Kryteria lokalne</w:t>
      </w:r>
      <w:r w:rsidRPr="006B1908">
        <w:rPr>
          <w:rFonts w:cstheme="minorHAnsi"/>
        </w:rPr>
        <w:t xml:space="preserve"> wynikają bezpośrednio z analizy problemów i potrzeb społeczności lokalnej:</w:t>
      </w:r>
    </w:p>
    <w:p w14:paraId="6CC2FE0A" w14:textId="77777777" w:rsidR="006B1908" w:rsidRPr="006B1908" w:rsidRDefault="006B1908" w:rsidP="006B1908">
      <w:pPr>
        <w:pStyle w:val="wypunktpogrub"/>
        <w:tabs>
          <w:tab w:val="clear" w:pos="284"/>
          <w:tab w:val="left" w:pos="426"/>
        </w:tabs>
        <w:spacing w:line="276" w:lineRule="auto"/>
        <w:ind w:left="426" w:hanging="426"/>
        <w:rPr>
          <w:rFonts w:asciiTheme="minorHAnsi" w:hAnsiTheme="minorHAnsi" w:cstheme="minorHAnsi"/>
          <w:i/>
        </w:rPr>
      </w:pPr>
      <w:r w:rsidRPr="006B1908">
        <w:rPr>
          <w:rFonts w:asciiTheme="minorHAnsi" w:hAnsiTheme="minorHAnsi" w:cstheme="minorHAnsi"/>
          <w:i/>
        </w:rPr>
        <w:t xml:space="preserve">Czy operacja jest innowacyjna ? </w:t>
      </w:r>
    </w:p>
    <w:p w14:paraId="0F98B6ED" w14:textId="77777777" w:rsidR="006B1908" w:rsidRPr="006B1908" w:rsidRDefault="006B1908" w:rsidP="006B1908">
      <w:pPr>
        <w:tabs>
          <w:tab w:val="left" w:pos="426"/>
        </w:tabs>
        <w:autoSpaceDE w:val="0"/>
        <w:autoSpaceDN w:val="0"/>
        <w:adjustRightInd w:val="0"/>
        <w:spacing w:after="0" w:line="276" w:lineRule="auto"/>
        <w:ind w:left="426" w:hanging="426"/>
        <w:rPr>
          <w:rFonts w:eastAsia="Times New Roman" w:cstheme="minorHAnsi"/>
        </w:rPr>
      </w:pPr>
      <w:r w:rsidRPr="006B1908">
        <w:rPr>
          <w:rFonts w:eastAsia="Times New Roman" w:cstheme="minorHAnsi"/>
        </w:rPr>
        <w:tab/>
        <w:t xml:space="preserve">Projekt zaplanowany w operacji można określić jako innowacyjny, jeśli przewiduje się </w:t>
      </w:r>
      <w:r w:rsidRPr="006B1908">
        <w:rPr>
          <w:rFonts w:eastAsia="Times New Roman" w:cstheme="minorHAnsi"/>
          <w:u w:val="single"/>
        </w:rPr>
        <w:t>wdrożenie</w:t>
      </w:r>
      <w:r w:rsidRPr="006B1908">
        <w:rPr>
          <w:rFonts w:eastAsia="Times New Roman" w:cstheme="minorHAnsi"/>
        </w:rPr>
        <w:t xml:space="preserve"> nowych lub znacząco udoskonalonych produktów, usług, procesów, organizacji lub nowego sposobu wykorzystania lub zmobilizowania istniejących lokalnych zasobów przyrodniczych, historycznych, kulturowych czy społecznych w zakresie celów określonych w ramach LSR. </w:t>
      </w:r>
    </w:p>
    <w:p w14:paraId="70AE6E26" w14:textId="77777777" w:rsidR="006B1908" w:rsidRPr="006B1908" w:rsidRDefault="006B1908" w:rsidP="006B1908">
      <w:pPr>
        <w:tabs>
          <w:tab w:val="left" w:pos="426"/>
        </w:tabs>
        <w:autoSpaceDE w:val="0"/>
        <w:autoSpaceDN w:val="0"/>
        <w:adjustRightInd w:val="0"/>
        <w:spacing w:after="0" w:line="276" w:lineRule="auto"/>
        <w:ind w:left="426" w:hanging="426"/>
        <w:rPr>
          <w:rFonts w:eastAsia="Times New Roman" w:cstheme="minorHAnsi"/>
        </w:rPr>
      </w:pPr>
      <w:r w:rsidRPr="006B1908">
        <w:rPr>
          <w:rFonts w:eastAsia="Times New Roman" w:cstheme="minorHAnsi"/>
        </w:rPr>
        <w:tab/>
        <w:t xml:space="preserve">Zdaniem przedstawicieli instytucji i organizacji pozarządowych uczestniczących w konsultacjach społecznych istotnym jest podejmowanie innowacyjnych działań, których wykorzystanie w połączeniu z doświadczeniem w zakresie dotychczasowych rozwiązań przynosi większy efekt i zmianę społeczną. </w:t>
      </w:r>
    </w:p>
    <w:p w14:paraId="6EC48FA7" w14:textId="77777777" w:rsidR="006B1908" w:rsidRPr="006B1908" w:rsidRDefault="006B1908" w:rsidP="006B1908">
      <w:pPr>
        <w:tabs>
          <w:tab w:val="left" w:pos="426"/>
        </w:tabs>
        <w:autoSpaceDE w:val="0"/>
        <w:autoSpaceDN w:val="0"/>
        <w:adjustRightInd w:val="0"/>
        <w:spacing w:after="0" w:line="276" w:lineRule="auto"/>
        <w:rPr>
          <w:rFonts w:eastAsia="Times New Roman" w:cstheme="minorHAnsi"/>
        </w:rPr>
      </w:pPr>
    </w:p>
    <w:p w14:paraId="05C7F095" w14:textId="77777777" w:rsidR="006B1908" w:rsidRPr="006B1908" w:rsidRDefault="006B1908" w:rsidP="006B1908">
      <w:pPr>
        <w:tabs>
          <w:tab w:val="left" w:pos="426"/>
        </w:tabs>
        <w:autoSpaceDE w:val="0"/>
        <w:autoSpaceDN w:val="0"/>
        <w:adjustRightInd w:val="0"/>
        <w:spacing w:after="0" w:line="276" w:lineRule="auto"/>
        <w:ind w:left="426" w:hanging="426"/>
        <w:rPr>
          <w:rFonts w:eastAsia="Times New Roman" w:cstheme="minorHAnsi"/>
        </w:rPr>
      </w:pPr>
      <w:r w:rsidRPr="006B1908">
        <w:rPr>
          <w:rFonts w:eastAsia="Times New Roman" w:cstheme="minorHAnsi"/>
        </w:rPr>
        <w:t>Zasady oceny w ramach tego kryterium przedstawiają się następująco:</w:t>
      </w:r>
    </w:p>
    <w:p w14:paraId="626541CB"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cstheme="minorHAnsi"/>
        </w:rPr>
        <w:tab/>
        <w:t xml:space="preserve">1 </w:t>
      </w:r>
      <w:r w:rsidRPr="006B1908">
        <w:rPr>
          <w:rFonts w:eastAsia="Times New Roman" w:cstheme="minorHAnsi"/>
        </w:rPr>
        <w:t>pkt - innowacja dotyczy wdrażania nowych lub znacząco udoskonalonych produktów, usług, procesów, organizacji lub nowego sposobu wykorzystania lub zmobilizowania istniejących lokalnych zasobów na poziomie danej organizacji (organizacja nie pracowała do tej pory wskazaną metodą);</w:t>
      </w:r>
    </w:p>
    <w:p w14:paraId="6199F564"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ab/>
        <w:t>2 pkt - innowacja dotyczy terenu LSR (na terenie LSR dana metoda czy technika nie jest wykorzystywana);</w:t>
      </w:r>
    </w:p>
    <w:p w14:paraId="6A67E5B3"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ab/>
        <w:t xml:space="preserve">3 pkt - innowacja dotyczy grupy docelowej (wskazana metoda czy technika nie jest stosowana w przypadku danego problemu/ grupy społecznej a jest znana w innych obszarach); </w:t>
      </w:r>
    </w:p>
    <w:p w14:paraId="2EE40535"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ab/>
        <w:t xml:space="preserve">4 pkt - innowacja dotyczy metody nowej na poziomie kraju; </w:t>
      </w:r>
    </w:p>
    <w:p w14:paraId="7CA87B6C"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ab/>
        <w:t xml:space="preserve">5 pkt - operacja zakłada zastosowanie zupełnie nowej metody.  </w:t>
      </w:r>
    </w:p>
    <w:p w14:paraId="6693CEC6"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p>
    <w:p w14:paraId="4F707B8A"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Kreatywne – powstają w wyniku autorskiego pomysłu, dotyczą nowych produktów, usług, procesów lub organizacji.</w:t>
      </w:r>
    </w:p>
    <w:p w14:paraId="29402F68"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Imitujące - wzorowane na wcześniej powstałych produktach, usługach, procesach lub organizacji. Dotyczące nowego sposobu wykorzystania lub zmobilizowania istniejących lokalnych zasobów przyrodniczych, historycznych, kulturowych czy społecznych.</w:t>
      </w:r>
    </w:p>
    <w:p w14:paraId="1E676D31"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r w:rsidRPr="006B1908">
        <w:rPr>
          <w:rFonts w:eastAsia="Times New Roman" w:cstheme="minorHAnsi"/>
        </w:rPr>
        <w:t>Pozorne – w rzeczywistości nie są to innowacje w skali LSR. Są to jedynie drobne zmiany oferujące rzekome nowości</w:t>
      </w:r>
    </w:p>
    <w:p w14:paraId="00D4C46D" w14:textId="77777777" w:rsidR="006B1908" w:rsidRPr="006B1908" w:rsidRDefault="006B1908" w:rsidP="006B1908">
      <w:pPr>
        <w:tabs>
          <w:tab w:val="left" w:pos="426"/>
        </w:tabs>
        <w:autoSpaceDE w:val="0"/>
        <w:autoSpaceDN w:val="0"/>
        <w:adjustRightInd w:val="0"/>
        <w:spacing w:after="0" w:line="276" w:lineRule="auto"/>
        <w:ind w:left="993" w:hanging="993"/>
        <w:rPr>
          <w:rFonts w:eastAsia="Times New Roman" w:cstheme="minorHAnsi"/>
        </w:rPr>
      </w:pPr>
    </w:p>
    <w:p w14:paraId="7D8031FB" w14:textId="77777777" w:rsidR="006B1908" w:rsidRPr="006B1908" w:rsidRDefault="006B1908" w:rsidP="006B1908">
      <w:pPr>
        <w:pStyle w:val="Akapitzlist"/>
        <w:spacing w:after="0" w:line="276" w:lineRule="auto"/>
        <w:ind w:left="0"/>
        <w:jc w:val="both"/>
        <w:rPr>
          <w:rFonts w:cstheme="minorHAnsi"/>
          <w:b/>
          <w:color w:val="000000"/>
        </w:rPr>
      </w:pPr>
      <w:r w:rsidRPr="006B1908">
        <w:rPr>
          <w:rFonts w:cstheme="minorHAnsi"/>
          <w:color w:val="000000"/>
        </w:rPr>
        <w:t>Zalicza się tu elementy innowacji, które dany wnioskodawca opracował jako pierwszy oraz te, które zostały przyswojone od innych firm lub podmiotów.</w:t>
      </w:r>
    </w:p>
    <w:p w14:paraId="3A0A66B7" w14:textId="77777777" w:rsidR="006B1908" w:rsidRPr="006B1908" w:rsidRDefault="006B1908" w:rsidP="006B1908">
      <w:pPr>
        <w:pStyle w:val="Akapitzlist"/>
        <w:spacing w:after="0" w:line="276" w:lineRule="auto"/>
        <w:ind w:left="0"/>
        <w:jc w:val="both"/>
        <w:rPr>
          <w:rFonts w:cstheme="minorHAnsi"/>
          <w:b/>
          <w:color w:val="000000"/>
        </w:rPr>
      </w:pPr>
      <w:r w:rsidRPr="006B1908">
        <w:rPr>
          <w:rFonts w:cstheme="minorHAnsi"/>
          <w:b/>
          <w:color w:val="000000"/>
        </w:rPr>
        <w:t xml:space="preserve">Kryterium będzie oceniane na podstawie uzasadnienia przedstawionego przez wnioskodawcę udowadniającego spełnienie kryterium innowacyjności. </w:t>
      </w:r>
    </w:p>
    <w:p w14:paraId="3C135B83" w14:textId="77777777" w:rsidR="006B1908" w:rsidRPr="006B1908" w:rsidRDefault="006B1908" w:rsidP="006B1908">
      <w:pPr>
        <w:spacing w:after="0" w:line="276" w:lineRule="auto"/>
        <w:rPr>
          <w:rFonts w:cstheme="minorHAnsi"/>
          <w:caps/>
          <w:color w:val="0070C0"/>
        </w:rPr>
      </w:pPr>
    </w:p>
    <w:p w14:paraId="4DAA930C" w14:textId="77777777" w:rsidR="006B1908" w:rsidRPr="006B1908" w:rsidRDefault="006B1908" w:rsidP="006B1908">
      <w:pPr>
        <w:spacing w:after="0" w:line="276" w:lineRule="auto"/>
        <w:rPr>
          <w:rFonts w:cstheme="minorHAnsi"/>
        </w:rPr>
      </w:pPr>
      <w:r w:rsidRPr="006B1908">
        <w:rPr>
          <w:rFonts w:cstheme="minorHAnsi"/>
        </w:rPr>
        <w:t xml:space="preserve">Procedura wyboru i oceny operacji praz sposób ustanawiania kryteriów wyboru stanowią załącznik do Regulaminu Pracy Rady. </w:t>
      </w:r>
    </w:p>
    <w:p w14:paraId="23D800C3" w14:textId="77777777" w:rsidR="006B1908" w:rsidRPr="006B1908" w:rsidRDefault="006B1908" w:rsidP="006B1908">
      <w:pPr>
        <w:spacing w:after="0" w:line="276" w:lineRule="auto"/>
        <w:rPr>
          <w:rFonts w:cstheme="minorHAnsi"/>
        </w:rPr>
      </w:pPr>
    </w:p>
    <w:p w14:paraId="30A204AB" w14:textId="77777777" w:rsidR="006B1908" w:rsidRPr="008F3DA2" w:rsidRDefault="006B1908" w:rsidP="006B1908">
      <w:pPr>
        <w:spacing w:after="0" w:line="276" w:lineRule="auto"/>
        <w:rPr>
          <w:rFonts w:cstheme="minorHAnsi"/>
          <w:caps/>
          <w:color w:val="0070C0"/>
        </w:rPr>
      </w:pPr>
      <w:r w:rsidRPr="006B1908">
        <w:rPr>
          <w:rFonts w:cstheme="minorHAnsi"/>
          <w:caps/>
          <w:color w:val="0070C0"/>
        </w:rPr>
        <w:t>Projekty wskazane w LSR będą wybierane zgodnie z zasadami i warunkami obowiązującymi dla EFS+, a także promowane będą projekty wpisujące się w Nowy Europejski Bauhaus</w:t>
      </w:r>
    </w:p>
    <w:p w14:paraId="62C2A9BF" w14:textId="77777777" w:rsidR="00054C06" w:rsidRDefault="00054C06"/>
    <w:sectPr w:rsidR="00054C06" w:rsidSect="00D90939">
      <w:pgSz w:w="11906" w:h="16838"/>
      <w:pgMar w:top="851"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5C5"/>
    <w:multiLevelType w:val="multilevel"/>
    <w:tmpl w:val="47028E88"/>
    <w:lvl w:ilvl="0">
      <w:start w:val="1"/>
      <w:numFmt w:val="decimal"/>
      <w:pStyle w:val="wypunktpogrub"/>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8578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08"/>
    <w:rsid w:val="00054C06"/>
    <w:rsid w:val="006B1908"/>
    <w:rsid w:val="00980B3B"/>
    <w:rsid w:val="00E5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5FB0"/>
  <w15:chartTrackingRefBased/>
  <w15:docId w15:val="{5F4285F8-8A31-4117-B11A-7CFFF6C8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908"/>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punktpogrub">
    <w:name w:val="wypunkt_pogrub"/>
    <w:basedOn w:val="Normalny"/>
    <w:link w:val="wypunktpogrubZnak"/>
    <w:qFormat/>
    <w:rsid w:val="006B1908"/>
    <w:pPr>
      <w:numPr>
        <w:numId w:val="1"/>
      </w:numPr>
      <w:tabs>
        <w:tab w:val="left" w:pos="284"/>
      </w:tabs>
      <w:suppressAutoHyphens/>
      <w:autoSpaceDN w:val="0"/>
      <w:spacing w:after="0" w:line="22" w:lineRule="atLeast"/>
      <w:jc w:val="both"/>
      <w:textAlignment w:val="baseline"/>
    </w:pPr>
    <w:rPr>
      <w:rFonts w:ascii="Arial Narrow" w:eastAsia="Times New Roman" w:hAnsi="Arial Narrow" w:cs="Times New Roman"/>
      <w:b/>
      <w:kern w:val="0"/>
      <w:lang w:eastAsia="pl-PL"/>
      <w14:ligatures w14:val="none"/>
    </w:rPr>
  </w:style>
  <w:style w:type="character" w:customStyle="1" w:styleId="wypunktpogrubZnak">
    <w:name w:val="wypunkt_pogrub Znak"/>
    <w:basedOn w:val="Domylnaczcionkaakapitu"/>
    <w:link w:val="wypunktpogrub"/>
    <w:rsid w:val="006B1908"/>
    <w:rPr>
      <w:rFonts w:ascii="Arial Narrow" w:eastAsia="Times New Roman" w:hAnsi="Arial Narrow" w:cs="Times New Roman"/>
      <w:b/>
      <w:lang w:eastAsia="pl-PL"/>
    </w:rPr>
  </w:style>
  <w:style w:type="paragraph" w:styleId="Akapitzlist">
    <w:name w:val="List Paragraph"/>
    <w:basedOn w:val="Normalny"/>
    <w:link w:val="AkapitzlistZnak"/>
    <w:uiPriority w:val="99"/>
    <w:qFormat/>
    <w:rsid w:val="006B1908"/>
    <w:pPr>
      <w:ind w:left="720"/>
      <w:contextualSpacing/>
    </w:pPr>
  </w:style>
  <w:style w:type="character" w:customStyle="1" w:styleId="AkapitzlistZnak">
    <w:name w:val="Akapit z listą Znak"/>
    <w:link w:val="Akapitzlist"/>
    <w:uiPriority w:val="99"/>
    <w:locked/>
    <w:rsid w:val="006B190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2209</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Miasta Torunia</dc:creator>
  <cp:keywords/>
  <dc:description/>
  <cp:lastModifiedBy>Dla Miasta Torunia</cp:lastModifiedBy>
  <cp:revision>1</cp:revision>
  <dcterms:created xsi:type="dcterms:W3CDTF">2023-05-31T07:46:00Z</dcterms:created>
  <dcterms:modified xsi:type="dcterms:W3CDTF">2023-05-31T07:48:00Z</dcterms:modified>
</cp:coreProperties>
</file>