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317B" w14:textId="2E43494E" w:rsidR="00556700" w:rsidRPr="00556700" w:rsidRDefault="00C17865" w:rsidP="00556700">
      <w:pPr>
        <w:jc w:val="center"/>
        <w:rPr>
          <w:b/>
          <w:bCs/>
          <w:sz w:val="24"/>
          <w:szCs w:val="24"/>
        </w:rPr>
      </w:pPr>
      <w:r w:rsidRPr="00C17865">
        <w:rPr>
          <w:b/>
          <w:bCs/>
          <w:sz w:val="24"/>
          <w:szCs w:val="24"/>
        </w:rPr>
        <w:t>FORMULARZ KONSULTACYJNY</w:t>
      </w:r>
      <w:r w:rsidR="00556700">
        <w:rPr>
          <w:b/>
          <w:bCs/>
          <w:sz w:val="24"/>
          <w:szCs w:val="24"/>
        </w:rPr>
        <w:t xml:space="preserve"> dot. Kryteriów </w:t>
      </w:r>
      <w:r w:rsidR="00556700" w:rsidRPr="00556700">
        <w:rPr>
          <w:b/>
          <w:bCs/>
          <w:sz w:val="24"/>
          <w:szCs w:val="24"/>
        </w:rPr>
        <w:t>wyboru grantobiorców</w:t>
      </w:r>
    </w:p>
    <w:p w14:paraId="54BD6CEE" w14:textId="77777777" w:rsidR="00C17865" w:rsidRDefault="00C17865" w:rsidP="00C17865">
      <w:pPr>
        <w:spacing w:after="120"/>
        <w:rPr>
          <w:rFonts w:cs="Arial"/>
          <w:b/>
        </w:rPr>
      </w:pPr>
    </w:p>
    <w:p w14:paraId="16FDE02A" w14:textId="239276DD" w:rsidR="00C17865" w:rsidRDefault="00C17865" w:rsidP="00C17865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 Zgłaszane uwagi:</w:t>
      </w:r>
    </w:p>
    <w:tbl>
      <w:tblPr>
        <w:tblW w:w="14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532"/>
        <w:gridCol w:w="2193"/>
        <w:gridCol w:w="3498"/>
        <w:gridCol w:w="3764"/>
        <w:gridCol w:w="4185"/>
      </w:tblGrid>
      <w:tr w:rsidR="00C72F9E" w:rsidRPr="008C3C9D" w14:paraId="41F1F9E8" w14:textId="6A72392C" w:rsidTr="008C3C9D">
        <w:trPr>
          <w:trHeight w:val="668"/>
        </w:trPr>
        <w:tc>
          <w:tcPr>
            <w:tcW w:w="534" w:type="dxa"/>
            <w:shd w:val="solid" w:color="D9D9D9" w:themeColor="background1" w:themeShade="D9" w:fill="D9D9D9" w:themeFill="background1" w:themeFillShade="D9"/>
            <w:vAlign w:val="center"/>
          </w:tcPr>
          <w:p w14:paraId="248D71C4" w14:textId="77777777" w:rsidR="00C72F9E" w:rsidRPr="008C3C9D" w:rsidRDefault="00C72F9E" w:rsidP="00F86AE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015" w:type="dxa"/>
            <w:shd w:val="solid" w:color="D9D9D9" w:themeColor="background1" w:themeShade="D9" w:fill="D9D9D9" w:themeFill="background1" w:themeFillShade="D9"/>
            <w:vAlign w:val="center"/>
          </w:tcPr>
          <w:p w14:paraId="6152431E" w14:textId="6641DF22" w:rsidR="00C72F9E" w:rsidRPr="008C3C9D" w:rsidRDefault="00C72F9E" w:rsidP="00F86AE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Kryterium, do której odnosi się uwaga</w:t>
            </w:r>
          </w:p>
        </w:tc>
        <w:tc>
          <w:tcPr>
            <w:tcW w:w="3544" w:type="dxa"/>
            <w:shd w:val="solid" w:color="D9D9D9" w:themeColor="background1" w:themeShade="D9" w:fill="D9D9D9" w:themeFill="background1" w:themeFillShade="D9"/>
            <w:vAlign w:val="center"/>
          </w:tcPr>
          <w:p w14:paraId="2BE5CAB7" w14:textId="77777777" w:rsidR="00C72F9E" w:rsidRPr="008C3C9D" w:rsidRDefault="00C72F9E" w:rsidP="00F86AE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Propozycja zmiany</w:t>
            </w:r>
          </w:p>
        </w:tc>
        <w:tc>
          <w:tcPr>
            <w:tcW w:w="3827" w:type="dxa"/>
            <w:shd w:val="solid" w:color="D9D9D9" w:themeColor="background1" w:themeShade="D9" w:fill="D9D9D9" w:themeFill="background1" w:themeFillShade="D9"/>
            <w:vAlign w:val="center"/>
          </w:tcPr>
          <w:p w14:paraId="299E88C7" w14:textId="77777777" w:rsidR="00C72F9E" w:rsidRPr="00D771DB" w:rsidRDefault="00C72F9E" w:rsidP="00F86AE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>Uzasadnienie</w:t>
            </w:r>
          </w:p>
        </w:tc>
        <w:tc>
          <w:tcPr>
            <w:tcW w:w="4252" w:type="dxa"/>
            <w:shd w:val="solid" w:color="D9D9D9" w:themeColor="background1" w:themeShade="D9" w:fill="D9D9D9" w:themeFill="background1" w:themeFillShade="D9"/>
          </w:tcPr>
          <w:p w14:paraId="3B084E50" w14:textId="5DD90B22" w:rsidR="00C72F9E" w:rsidRPr="008C3C9D" w:rsidRDefault="00C72F9E" w:rsidP="00F86AE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KOMENTARZ LGD</w:t>
            </w:r>
          </w:p>
        </w:tc>
      </w:tr>
      <w:tr w:rsidR="00E6283E" w:rsidRPr="008C3C9D" w14:paraId="60CF3FB3" w14:textId="77777777" w:rsidTr="008C3C9D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14:paraId="02356652" w14:textId="78743D41" w:rsidR="00E6283E" w:rsidRPr="008C3C9D" w:rsidRDefault="00E6283E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14:paraId="55A30B7D" w14:textId="66F60A10" w:rsidR="00E6283E" w:rsidRPr="008C3C9D" w:rsidRDefault="00E6283E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theme="minorHAnsi"/>
                <w:sz w:val="20"/>
                <w:szCs w:val="20"/>
              </w:rPr>
              <w:t>Uczestnicy projektu – większa liczba niż zakładana w Regulaminie</w:t>
            </w:r>
          </w:p>
        </w:tc>
        <w:tc>
          <w:tcPr>
            <w:tcW w:w="3544" w:type="dxa"/>
            <w:shd w:val="clear" w:color="auto" w:fill="auto"/>
          </w:tcPr>
          <w:p w14:paraId="6AFCA0FD" w14:textId="07ED0193" w:rsidR="00E6283E" w:rsidRPr="008C3C9D" w:rsidRDefault="00E6283E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color w:val="000000" w:themeColor="text1"/>
                <w:sz w:val="20"/>
                <w:szCs w:val="20"/>
              </w:rPr>
              <w:t>Proponuję likwidację tego punktu lub nieprzyznawanie dodatkowych punktów za większą liczbę uczestników w projekcie niż zakładana w regulaminie.</w:t>
            </w:r>
          </w:p>
        </w:tc>
        <w:tc>
          <w:tcPr>
            <w:tcW w:w="3827" w:type="dxa"/>
            <w:shd w:val="clear" w:color="auto" w:fill="auto"/>
          </w:tcPr>
          <w:p w14:paraId="78B8EDF0" w14:textId="2A621E40" w:rsidR="00E6283E" w:rsidRPr="00D771DB" w:rsidRDefault="00E6283E" w:rsidP="00E6283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Zakładam, że ogłaszane konkursy/ regulaminy konkursów wynikają z diagnozy potrzeb i kierują się zasadą adekwatności działań (na takich samych zasadach, jakie mają przyświecać proponowanym projektom).Tym samym, wykraczanie poza ramy niniejszego regulaminu nie może być dodatkowo punktowane.</w:t>
            </w:r>
          </w:p>
        </w:tc>
        <w:tc>
          <w:tcPr>
            <w:tcW w:w="4252" w:type="dxa"/>
            <w:shd w:val="clear" w:color="auto" w:fill="auto"/>
          </w:tcPr>
          <w:p w14:paraId="0619F954" w14:textId="77777777" w:rsidR="00E6283E" w:rsidRPr="008C3C9D" w:rsidRDefault="001F7245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Uwaga odrzucona</w:t>
            </w:r>
          </w:p>
          <w:p w14:paraId="7163B419" w14:textId="77777777" w:rsidR="001F7245" w:rsidRPr="008C3C9D" w:rsidRDefault="001F7245" w:rsidP="00E6283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98CFCE8" w14:textId="13A8C991" w:rsidR="001F7245" w:rsidRPr="008C3C9D" w:rsidRDefault="001F7245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Kryterium ma na celu premiowanie Wnioskodawców, którzy wykaż</w:t>
            </w:r>
            <w:r w:rsidR="00D75815">
              <w:rPr>
                <w:rFonts w:cs="Arial"/>
                <w:sz w:val="20"/>
                <w:szCs w:val="20"/>
              </w:rPr>
              <w:t>ą większą liczbę</w:t>
            </w:r>
            <w:r w:rsidRPr="008C3C9D">
              <w:rPr>
                <w:rFonts w:cs="Arial"/>
                <w:sz w:val="20"/>
                <w:szCs w:val="20"/>
              </w:rPr>
              <w:t xml:space="preserve"> uczestników niż zakładany poziom w Regulaminie. Docelowo w Regulaminach naborów określona będzie minimalna liczba uczestników i progi finansowe kosztu udziału uczestnika w danym projekcie. Większa liczba uczestników pozytywnie wpłynie na realizację wskaźników LSR.</w:t>
            </w:r>
          </w:p>
        </w:tc>
      </w:tr>
      <w:tr w:rsidR="00E6283E" w:rsidRPr="008C3C9D" w14:paraId="0C701C24" w14:textId="77777777" w:rsidTr="008C3C9D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14:paraId="52614F34" w14:textId="1E5ECC98" w:rsidR="00E6283E" w:rsidRPr="008C3C9D" w:rsidRDefault="00E6283E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14:paraId="7A285F72" w14:textId="112F396C" w:rsidR="00E6283E" w:rsidRPr="008C3C9D" w:rsidRDefault="00E6283E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theme="minorHAnsi"/>
                <w:sz w:val="20"/>
                <w:szCs w:val="20"/>
              </w:rPr>
              <w:t>Korzystanie z doradztwa Biura LGD „Dla Miasta Torunia” na etapie przygotowywania wniosku o powierzenie grantu.</w:t>
            </w:r>
          </w:p>
        </w:tc>
        <w:tc>
          <w:tcPr>
            <w:tcW w:w="3544" w:type="dxa"/>
            <w:shd w:val="clear" w:color="auto" w:fill="auto"/>
          </w:tcPr>
          <w:p w14:paraId="79E28548" w14:textId="5BBA923D" w:rsidR="00E6283E" w:rsidRPr="008C3C9D" w:rsidRDefault="00E6283E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color w:val="000000" w:themeColor="text1"/>
                <w:sz w:val="20"/>
                <w:szCs w:val="20"/>
              </w:rPr>
              <w:t>Zmniejszenie ilości przyznawanych punktów do 2 lub 1 za spełnienie niniejszego kryterium.</w:t>
            </w:r>
          </w:p>
        </w:tc>
        <w:tc>
          <w:tcPr>
            <w:tcW w:w="3827" w:type="dxa"/>
            <w:shd w:val="clear" w:color="auto" w:fill="auto"/>
          </w:tcPr>
          <w:p w14:paraId="02201884" w14:textId="1F891C3B" w:rsidR="00E6283E" w:rsidRPr="00D771DB" w:rsidRDefault="00E6283E" w:rsidP="00E6283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Ilość potencjalnych punktów do przyznania za spełnienie kryterium jest zbyt wysoka w relacji do np. Zaangażowanie lokalnej społeczności… (4pkt.), czy Zintegrowanie z lokalnymi programami… (1pkt).</w:t>
            </w:r>
          </w:p>
        </w:tc>
        <w:tc>
          <w:tcPr>
            <w:tcW w:w="4252" w:type="dxa"/>
            <w:shd w:val="clear" w:color="auto" w:fill="auto"/>
          </w:tcPr>
          <w:p w14:paraId="2FB790AB" w14:textId="77777777" w:rsidR="00E6283E" w:rsidRPr="008C3C9D" w:rsidRDefault="001F7245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Uwaga odrzucona</w:t>
            </w:r>
          </w:p>
          <w:p w14:paraId="182D6F97" w14:textId="77777777" w:rsidR="001F7245" w:rsidRPr="008C3C9D" w:rsidRDefault="001F7245" w:rsidP="00E6283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4FA4434" w14:textId="66F0FBBA" w:rsidR="001F7245" w:rsidRPr="008C3C9D" w:rsidRDefault="001F7245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Celem kryterium jest premiowanie Wnioskodawców, którzy na etapie przygotowywania wniosku odbędą konsultacje z pracownikami Biura LGD</w:t>
            </w:r>
            <w:r w:rsidR="008C3C9D">
              <w:rPr>
                <w:rFonts w:cs="Arial"/>
                <w:sz w:val="20"/>
                <w:szCs w:val="20"/>
              </w:rPr>
              <w:t xml:space="preserve"> (osobiście lub elektronicznie)</w:t>
            </w:r>
            <w:r w:rsidRPr="008C3C9D">
              <w:rPr>
                <w:rFonts w:cs="Arial"/>
                <w:sz w:val="20"/>
                <w:szCs w:val="20"/>
              </w:rPr>
              <w:t xml:space="preserve">. Z doświadczenia LGD wynika, że wnioski które nie były konsultowane nie spełniały części kryteriów merytorycznych, odbiegały od </w:t>
            </w:r>
            <w:r w:rsidR="008C3C9D" w:rsidRPr="008C3C9D">
              <w:rPr>
                <w:rFonts w:cs="Arial"/>
                <w:sz w:val="20"/>
                <w:szCs w:val="20"/>
              </w:rPr>
              <w:t>założeń</w:t>
            </w:r>
            <w:r w:rsidRPr="008C3C9D">
              <w:rPr>
                <w:rFonts w:cs="Arial"/>
                <w:sz w:val="20"/>
                <w:szCs w:val="20"/>
              </w:rPr>
              <w:t xml:space="preserve"> konkursowych lub </w:t>
            </w:r>
            <w:r w:rsidRPr="008C3C9D">
              <w:rPr>
                <w:rFonts w:cs="Arial"/>
                <w:sz w:val="20"/>
                <w:szCs w:val="20"/>
              </w:rPr>
              <w:lastRenderedPageBreak/>
              <w:t>zawierały błędy, któ</w:t>
            </w:r>
            <w:r w:rsidR="008C3C9D">
              <w:rPr>
                <w:rFonts w:cs="Arial"/>
                <w:sz w:val="20"/>
                <w:szCs w:val="20"/>
              </w:rPr>
              <w:t>r</w:t>
            </w:r>
            <w:r w:rsidRPr="008C3C9D">
              <w:rPr>
                <w:rFonts w:cs="Arial"/>
                <w:sz w:val="20"/>
                <w:szCs w:val="20"/>
              </w:rPr>
              <w:t>e można było skorygować jeśli wnioskodawca skorzystałby z doradztwa.</w:t>
            </w:r>
          </w:p>
          <w:p w14:paraId="24592F16" w14:textId="18EBD46A" w:rsidR="001F7245" w:rsidRPr="008C3C9D" w:rsidRDefault="001F7245" w:rsidP="00E6283E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Dodatkowo punktacja w pozostałych kryteriach została doprecyzowana, po konsultacji również z innymi podmiotami</w:t>
            </w:r>
            <w:r w:rsidR="00D75815">
              <w:rPr>
                <w:rFonts w:cs="Arial"/>
                <w:sz w:val="20"/>
                <w:szCs w:val="20"/>
              </w:rPr>
              <w:t>.</w:t>
            </w:r>
          </w:p>
        </w:tc>
      </w:tr>
      <w:tr w:rsidR="00D771DB" w:rsidRPr="008C3C9D" w14:paraId="1B3CC061" w14:textId="77777777" w:rsidTr="008C3C9D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14:paraId="656875E2" w14:textId="77777777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737F4E84" w14:textId="25CAA36E" w:rsidR="00D771DB" w:rsidRPr="008C3C9D" w:rsidRDefault="00D771DB" w:rsidP="00D771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F09">
              <w:rPr>
                <w:rFonts w:cstheme="minorHAnsi"/>
                <w:b/>
                <w:sz w:val="20"/>
                <w:szCs w:val="20"/>
              </w:rPr>
              <w:t>Wniosek o powierzenie grantu został złożony we właściwym terminie i na właściwym formularzu</w:t>
            </w:r>
          </w:p>
        </w:tc>
        <w:tc>
          <w:tcPr>
            <w:tcW w:w="3544" w:type="dxa"/>
            <w:shd w:val="clear" w:color="auto" w:fill="auto"/>
          </w:tcPr>
          <w:p w14:paraId="75F421F9" w14:textId="38C8BFE5" w:rsidR="00D771DB" w:rsidRPr="00D771DB" w:rsidRDefault="00D771DB" w:rsidP="00D771DB">
            <w:pPr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01F09">
              <w:rPr>
                <w:rFonts w:cstheme="minorHAnsi"/>
                <w:sz w:val="20"/>
                <w:szCs w:val="20"/>
              </w:rPr>
              <w:t xml:space="preserve">Ocenie podlega, czy wnioskodawca złożył wniosek o powierzenie grantu w terminie wskazanym w Regulaminie </w:t>
            </w:r>
            <w:r>
              <w:rPr>
                <w:rFonts w:cstheme="minorHAnsi"/>
                <w:sz w:val="20"/>
                <w:szCs w:val="20"/>
              </w:rPr>
              <w:t>naboru</w:t>
            </w:r>
            <w:r w:rsidRPr="00501F09">
              <w:rPr>
                <w:rFonts w:cstheme="minorHAnsi"/>
                <w:sz w:val="20"/>
                <w:szCs w:val="20"/>
              </w:rPr>
              <w:t xml:space="preserve"> i na formularzu udostępnionym przez LGD jako załącznik do Regulaminu </w:t>
            </w:r>
            <w:r>
              <w:rPr>
                <w:rFonts w:cstheme="minorHAnsi"/>
                <w:sz w:val="20"/>
                <w:szCs w:val="20"/>
              </w:rPr>
              <w:t>naboru</w:t>
            </w:r>
            <w:r w:rsidRPr="00501F09">
              <w:rPr>
                <w:rFonts w:cstheme="minorHAnsi"/>
                <w:sz w:val="20"/>
                <w:szCs w:val="20"/>
              </w:rPr>
              <w:t xml:space="preserve">.   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Zmiana z zapisie Procedury i odniesienie do Kryteriów</w:t>
            </w:r>
          </w:p>
        </w:tc>
        <w:tc>
          <w:tcPr>
            <w:tcW w:w="3827" w:type="dxa"/>
            <w:shd w:val="clear" w:color="auto" w:fill="auto"/>
          </w:tcPr>
          <w:p w14:paraId="31C84FC2" w14:textId="4FAD0E60" w:rsidR="00D771DB" w:rsidRPr="00D771DB" w:rsidRDefault="00D771DB" w:rsidP="00D771DB">
            <w:pPr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>Uważamy, że składanie wniosku w wersji papierowej jest nieekonomiczne, generuje ogromne ilości papieru, jest zupełnie niepotrzebne. Czas pandemii pokazał, że można wszystko zrobić w formie elektronicznej, ułatwić organizacjom składanie wniosku, znieść zbędną „papierologię, ograniczyć koszty, chronić środowisko o czym tak wiele się mówi. Komisja może sprawdzać wnioski elektronicznie. Sama uczestniczyłam w pracach komisji konkursowej i nikt nie drukował ofert by je ocenić. Bardzo wielu grantodawców odchodzi od składania wniosków w wersji papierowej chociażby Gmina Miasta Toruń, Urząd Marszałkowski, NIW. Wniosek wkłada się z podpisami i w wersji papierowej dopiero po pozytywnym rozstrzygnięciu konkursu dla danej organizacji. Wtedy to ma sens. Potwierdzenie z generatora, ewentualnie podpisane i zeskanowane, ale i to uważam za zbędne. Po to są generatory.</w:t>
            </w:r>
          </w:p>
        </w:tc>
        <w:tc>
          <w:tcPr>
            <w:tcW w:w="4252" w:type="dxa"/>
            <w:shd w:val="clear" w:color="auto" w:fill="auto"/>
          </w:tcPr>
          <w:p w14:paraId="6CA89A85" w14:textId="09C91A02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Uwaga przyjęta – zmiana dokonana w Procedurze oceny i wyboru grantobiorców</w:t>
            </w:r>
          </w:p>
        </w:tc>
      </w:tr>
      <w:tr w:rsidR="00D771DB" w:rsidRPr="008C3C9D" w14:paraId="1DE31E4B" w14:textId="77777777" w:rsidTr="00D75815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14:paraId="32CCEF30" w14:textId="35DB9EF0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7B00D069" w14:textId="4941772A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Projekt o charakterze nowatorskim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04BEE6" w14:textId="2A40A2AD" w:rsidR="00D771DB" w:rsidRPr="008C3C9D" w:rsidRDefault="00D771DB" w:rsidP="00D75815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Propozycja zapisu: Kryterium uważa się za spełnione, jeśli Wnioskodawca wykaże, że nowatorski charakter projektu dotyczy rozwiązań zaplanowanych na poziomie danej organizacji (organizacja nie pracowała do tej pory wskazaną metodą) lub/i dotyczy terenu objętego LSR (na terenie LSR dana metoda nie była dotąd wykorzystywana).</w:t>
            </w:r>
          </w:p>
          <w:p w14:paraId="69485363" w14:textId="67FEA15A" w:rsidR="00D771DB" w:rsidRPr="008C3C9D" w:rsidRDefault="00D771DB" w:rsidP="000D00B2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Obniżenie do 2 pk</w:t>
            </w:r>
            <w:r w:rsidR="000D00B2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B3F7ED" w14:textId="5E811A0C" w:rsidR="00D771DB" w:rsidRPr="000D00B2" w:rsidRDefault="000D00B2" w:rsidP="00D771DB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Kryterium trudne do oceny. Zaleca się zmianę uzasadnienia na zakres działalności Wnioskodawcy, a nie szeroko.</w:t>
            </w:r>
          </w:p>
        </w:tc>
        <w:tc>
          <w:tcPr>
            <w:tcW w:w="4252" w:type="dxa"/>
            <w:shd w:val="clear" w:color="auto" w:fill="auto"/>
          </w:tcPr>
          <w:p w14:paraId="113AF559" w14:textId="07B216EE" w:rsidR="00D771DB" w:rsidRPr="008C3C9D" w:rsidRDefault="000D00B2" w:rsidP="00D77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Uwaga przyjęta.</w:t>
            </w:r>
          </w:p>
        </w:tc>
      </w:tr>
      <w:tr w:rsidR="00D771DB" w:rsidRPr="008C3C9D" w14:paraId="41B5EF80" w14:textId="77777777" w:rsidTr="00B7282D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14:paraId="306138E2" w14:textId="77777777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55321FB8" w14:textId="77777777" w:rsidR="00B7282D" w:rsidRPr="008C3C9D" w:rsidRDefault="00B7282D" w:rsidP="00B7282D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Doświadczenie wnioskodawcy</w:t>
            </w:r>
          </w:p>
          <w:p w14:paraId="1CCFFE1C" w14:textId="77777777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806A47" w14:textId="77777777" w:rsidR="00B7282D" w:rsidRPr="008C3C9D" w:rsidRDefault="00B7282D" w:rsidP="00B7282D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 xml:space="preserve">Ocenie podlega dotychczasowe zaangażowanie wnioskodawcy na rzecz lokalnej społeczności, </w:t>
            </w:r>
            <w:r w:rsidRPr="00B7282D">
              <w:rPr>
                <w:rFonts w:cs="Arial"/>
                <w:b/>
                <w:bCs/>
                <w:sz w:val="20"/>
                <w:szCs w:val="20"/>
              </w:rPr>
              <w:t>w tym również poza</w:t>
            </w:r>
            <w:r w:rsidRPr="008C3C9D">
              <w:rPr>
                <w:rFonts w:cs="Arial"/>
                <w:sz w:val="20"/>
                <w:szCs w:val="20"/>
              </w:rPr>
              <w:t xml:space="preserve"> inicjatywami realizowanymi w ramach RLKS w perspektywie 2014-2020 oraz w obszarze tematycznym, którego dotyczy realizowany projekt.</w:t>
            </w:r>
          </w:p>
          <w:p w14:paraId="6A174B33" w14:textId="77777777" w:rsidR="00B7282D" w:rsidRPr="008C3C9D" w:rsidRDefault="00B7282D" w:rsidP="00B7282D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 xml:space="preserve">Kryterium ma na celu wybór podmiotów aktywnie działających w środowisku lokalnym na rzecz ogółu lub konkretnej grupy mieszkańców i najlepiej znających potrzeby społeczności lokalnej. </w:t>
            </w:r>
          </w:p>
          <w:p w14:paraId="72544100" w14:textId="77777777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63E72EC" w14:textId="77777777" w:rsidR="00D771DB" w:rsidRDefault="00B7282D" w:rsidP="00D771DB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Aby nie wykluczać podmiotów którzy mają doświadczenie w realizacji grantów w poprzedniej perspektywie, a wręcz posiadają doświadczenie projektowe</w:t>
            </w:r>
          </w:p>
          <w:p w14:paraId="744167B7" w14:textId="77777777" w:rsidR="00B7282D" w:rsidRDefault="00B7282D" w:rsidP="00D771DB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  <w:p w14:paraId="254E8C1F" w14:textId="1CAC8F46" w:rsidR="00B7282D" w:rsidRPr="00D771DB" w:rsidRDefault="00B7282D" w:rsidP="00D771DB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Dodatkowo niezrozumiały sposób liczenia punktów – błąd rachunkowy</w:t>
            </w:r>
          </w:p>
        </w:tc>
        <w:tc>
          <w:tcPr>
            <w:tcW w:w="4252" w:type="dxa"/>
            <w:shd w:val="clear" w:color="auto" w:fill="auto"/>
          </w:tcPr>
          <w:p w14:paraId="1BFD5B5A" w14:textId="77777777" w:rsidR="00D771DB" w:rsidRDefault="00B7282D" w:rsidP="00D77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Uwaga przyjęta, dodano „w tym również” zamiast „poza”</w:t>
            </w:r>
          </w:p>
          <w:p w14:paraId="46363A17" w14:textId="77777777" w:rsidR="00B7282D" w:rsidRDefault="00B7282D" w:rsidP="00D771D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A9956BE" w14:textId="77777777" w:rsidR="00B7282D" w:rsidRDefault="00B7282D" w:rsidP="00D771D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162431F" w14:textId="77A186E5" w:rsidR="00B7282D" w:rsidRPr="008C3C9D" w:rsidRDefault="00B7282D" w:rsidP="00D77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Uwaga przyjęta, punktacja zmieniona na 0-5 punktów</w:t>
            </w:r>
          </w:p>
        </w:tc>
      </w:tr>
      <w:tr w:rsidR="00D771DB" w:rsidRPr="008C3C9D" w14:paraId="74D48144" w14:textId="48B11A2B" w:rsidTr="008C3C9D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7B0D1B49" w14:textId="70D3DB29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14:paraId="40DCAFD6" w14:textId="43A176EB" w:rsidR="00D771DB" w:rsidRPr="008C3C9D" w:rsidRDefault="000D00B2" w:rsidP="00D771DB">
            <w:pPr>
              <w:rPr>
                <w:rFonts w:cs="Arial"/>
                <w:sz w:val="20"/>
                <w:szCs w:val="20"/>
              </w:rPr>
            </w:pPr>
            <w:r w:rsidRPr="00471020">
              <w:rPr>
                <w:rFonts w:cstheme="minorHAnsi"/>
                <w:b/>
                <w:sz w:val="20"/>
                <w:szCs w:val="20"/>
              </w:rPr>
              <w:t xml:space="preserve">Wnioskodawca złożył nie więcej niż 1 wniosek o powierzenie </w:t>
            </w:r>
            <w:r w:rsidRPr="00471020">
              <w:rPr>
                <w:rFonts w:cstheme="minorHAnsi"/>
                <w:b/>
                <w:sz w:val="20"/>
                <w:szCs w:val="20"/>
              </w:rPr>
              <w:lastRenderedPageBreak/>
              <w:t>grant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471020">
              <w:rPr>
                <w:rFonts w:cstheme="minorHAnsi"/>
                <w:b/>
                <w:sz w:val="20"/>
                <w:szCs w:val="20"/>
              </w:rPr>
              <w:t xml:space="preserve"> w ramach naboru</w:t>
            </w:r>
          </w:p>
        </w:tc>
        <w:tc>
          <w:tcPr>
            <w:tcW w:w="3544" w:type="dxa"/>
          </w:tcPr>
          <w:p w14:paraId="6D52895E" w14:textId="6BD8498C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>Wnioskodawca złożył nie więcej niż 2 wnioski o powierzenie grantu w ramach naboru.</w:t>
            </w:r>
          </w:p>
        </w:tc>
        <w:tc>
          <w:tcPr>
            <w:tcW w:w="3827" w:type="dxa"/>
          </w:tcPr>
          <w:p w14:paraId="126CD92E" w14:textId="0E94D10E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 xml:space="preserve">Podejście takie jest restrykcyjne i niesie za sobą ryzyko odrzucenia wartościowego projektu w sytuacji, gdy wnioskodawca </w:t>
            </w:r>
            <w:r w:rsidRPr="00D771DB">
              <w:rPr>
                <w:rFonts w:cs="Arial"/>
                <w:i/>
                <w:iCs/>
                <w:sz w:val="20"/>
                <w:szCs w:val="20"/>
              </w:rPr>
              <w:lastRenderedPageBreak/>
              <w:t>złoży więcej niż 1 wniosek. Rozwiązaniem byłaby również możliwość wezwania wnioskodawcy do wyjaśnień i wybór przez niego projektu, który chcą złożyć. Taka alternatywa jest wyjściem naprzeciw potrzebom organizacji oraz wyrazem dobrej woli dysponenta środków.</w:t>
            </w:r>
          </w:p>
        </w:tc>
        <w:tc>
          <w:tcPr>
            <w:tcW w:w="4252" w:type="dxa"/>
          </w:tcPr>
          <w:p w14:paraId="4D45CBEC" w14:textId="1C4E7512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 xml:space="preserve">Z uwagi na ograniczone środki na realizacje LSR nie będą premiowane/kierowane do dofinansowania projekty (więcej niż 1 ) </w:t>
            </w:r>
            <w:r w:rsidRPr="008C3C9D">
              <w:rPr>
                <w:rFonts w:cs="Arial"/>
                <w:sz w:val="20"/>
                <w:szCs w:val="20"/>
              </w:rPr>
              <w:lastRenderedPageBreak/>
              <w:t>realizowane przez jednego wnioskodawcę. Umożliwienie składanie więcej niż 1 spowoduje ograniczenie szans podmiotom mniej sprawnym w przygotowywaniu, a</w:t>
            </w:r>
            <w:r w:rsidR="000D00B2">
              <w:rPr>
                <w:rFonts w:cs="Arial"/>
                <w:sz w:val="20"/>
                <w:szCs w:val="20"/>
              </w:rPr>
              <w:t>le</w:t>
            </w:r>
            <w:r w:rsidRPr="008C3C9D">
              <w:rPr>
                <w:rFonts w:cs="Arial"/>
                <w:sz w:val="20"/>
                <w:szCs w:val="20"/>
              </w:rPr>
              <w:t xml:space="preserve"> nadal wartościowych wniosków.  </w:t>
            </w:r>
          </w:p>
        </w:tc>
      </w:tr>
      <w:tr w:rsidR="00D771DB" w:rsidRPr="008C3C9D" w14:paraId="3E7AF5C6" w14:textId="09ACF095" w:rsidTr="008C3C9D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176FF974" w14:textId="276C7655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5" w:type="dxa"/>
            <w:shd w:val="clear" w:color="auto" w:fill="auto"/>
          </w:tcPr>
          <w:p w14:paraId="3DC19269" w14:textId="08F22BC9" w:rsidR="00D771DB" w:rsidRPr="008C3C9D" w:rsidRDefault="000D00B2" w:rsidP="00D771DB">
            <w:pPr>
              <w:rPr>
                <w:rFonts w:cs="Arial"/>
                <w:sz w:val="20"/>
                <w:szCs w:val="20"/>
              </w:rPr>
            </w:pPr>
            <w:r w:rsidRPr="00471020">
              <w:rPr>
                <w:rFonts w:cstheme="minorHAnsi"/>
                <w:b/>
                <w:sz w:val="20"/>
                <w:szCs w:val="20"/>
              </w:rPr>
              <w:t>Wnioskodawca złożył nie więcej niż 1 wniosek o powierzenie grant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471020">
              <w:rPr>
                <w:rFonts w:cstheme="minorHAnsi"/>
                <w:b/>
                <w:sz w:val="20"/>
                <w:szCs w:val="20"/>
              </w:rPr>
              <w:t xml:space="preserve"> w ramach naboru</w:t>
            </w:r>
          </w:p>
        </w:tc>
        <w:tc>
          <w:tcPr>
            <w:tcW w:w="3544" w:type="dxa"/>
          </w:tcPr>
          <w:p w14:paraId="461A939F" w14:textId="59A559D2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Wnioskodawca złożył nie więcej niż 1 wniosek o dofinansowanie grantu w ramach naboru.</w:t>
            </w:r>
          </w:p>
        </w:tc>
        <w:tc>
          <w:tcPr>
            <w:tcW w:w="3827" w:type="dxa"/>
          </w:tcPr>
          <w:p w14:paraId="049E0D90" w14:textId="2FBE0256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 xml:space="preserve">Powierzenie jest specyficzną formą polegającą na finansowaniu zadania w 100%. Tymczasem nabór dotyczy nie finansowania, a dofinansowania, które wymaga posiadania przez wnioskodawców wkładu własnego. W związku z tym proponuje się zmianę słowa powierzenie na dofinansowanie. </w:t>
            </w:r>
          </w:p>
        </w:tc>
        <w:tc>
          <w:tcPr>
            <w:tcW w:w="4252" w:type="dxa"/>
          </w:tcPr>
          <w:p w14:paraId="4A96416C" w14:textId="0AC84AC6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Uwaga skierowana do konsultacji z ZW</w:t>
            </w:r>
          </w:p>
        </w:tc>
      </w:tr>
      <w:tr w:rsidR="00D771DB" w:rsidRPr="008C3C9D" w14:paraId="4A639CC4" w14:textId="0158960B" w:rsidTr="008C3C9D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0E338A12" w14:textId="09C45D8A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14:paraId="6A447F8C" w14:textId="0277E0CE" w:rsidR="00D771DB" w:rsidRPr="008C3C9D" w:rsidRDefault="000D00B2" w:rsidP="00D771DB">
            <w:pPr>
              <w:rPr>
                <w:rFonts w:cs="Arial"/>
                <w:sz w:val="20"/>
                <w:szCs w:val="20"/>
              </w:rPr>
            </w:pPr>
            <w:r w:rsidRPr="00471020">
              <w:rPr>
                <w:rFonts w:cstheme="minorHAnsi"/>
                <w:b/>
                <w:bCs/>
                <w:sz w:val="20"/>
                <w:szCs w:val="20"/>
              </w:rPr>
              <w:t>Projekt jest zgodny z właściwymi przepisami prawa unijnego</w:t>
            </w:r>
          </w:p>
        </w:tc>
        <w:tc>
          <w:tcPr>
            <w:tcW w:w="3544" w:type="dxa"/>
          </w:tcPr>
          <w:p w14:paraId="48B178F9" w14:textId="74A08513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Ocenie podlega […], czy:</w:t>
            </w:r>
          </w:p>
          <w:p w14:paraId="60DE01BD" w14:textId="4D1E1713" w:rsidR="00D771DB" w:rsidRPr="008C3C9D" w:rsidRDefault="00D771DB" w:rsidP="00D771DB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projekt nie został fizycznie ukończony lub w pełni wdrożony przed złożeniem wniosku […] i czy wnioskodawca złożył oświadczenie, że realizując projekt […].</w:t>
            </w:r>
          </w:p>
        </w:tc>
        <w:tc>
          <w:tcPr>
            <w:tcW w:w="3827" w:type="dxa"/>
          </w:tcPr>
          <w:p w14:paraId="1DAE16A9" w14:textId="4E2C6937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>Punkt 1 uzasadnienia kryterium wyklucza punkt 2. Bo jeśli dopuszcza się możliwość dofinansowania projektu, który został rozpoczęty, ale nie został zakończony, wprowadzającym w błąd jest pisanie, że „wnioskodawca nie może rozpocząć realizacji projektu”. Kryterium dopuszcza dofinansowanie rozpoczętego, niezakończonego projektu, ale pod konkretnymi warunkami.</w:t>
            </w:r>
          </w:p>
          <w:p w14:paraId="3FF58E5F" w14:textId="77777777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55D7DDE5" w14:textId="77777777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>Zapis kryterium czytamy nierozłącznie</w:t>
            </w:r>
          </w:p>
          <w:p w14:paraId="21F916EF" w14:textId="77777777" w:rsidR="00D771DB" w:rsidRPr="008C3C9D" w:rsidRDefault="00D771DB" w:rsidP="00D771DB">
            <w:pPr>
              <w:rPr>
                <w:rFonts w:cstheme="minorHAnsi"/>
                <w:sz w:val="20"/>
                <w:szCs w:val="20"/>
              </w:rPr>
            </w:pPr>
            <w:r w:rsidRPr="008C3C9D">
              <w:rPr>
                <w:rFonts w:cstheme="minorHAnsi"/>
                <w:sz w:val="20"/>
                <w:szCs w:val="20"/>
              </w:rPr>
              <w:t>Ocenie podlega, czy projekt jest zgodny z właściwymi przepisami prawa unijnego, tj. czy:</w:t>
            </w:r>
          </w:p>
          <w:p w14:paraId="7954A973" w14:textId="77777777" w:rsidR="00D771DB" w:rsidRPr="008C3C9D" w:rsidRDefault="00D771DB" w:rsidP="00D771DB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8C3C9D">
              <w:rPr>
                <w:rFonts w:cstheme="minorHAnsi"/>
                <w:sz w:val="20"/>
                <w:szCs w:val="20"/>
              </w:rPr>
              <w:t>projekt nie został fizycznie ukończony lub w pełni wdrożony przed złożeniem wniosku o dofinansowanie projektu w rozumieniu art. 63 ust. 6 rozporządzenia nr 2021/1060</w:t>
            </w:r>
            <w:r w:rsidRPr="008C3C9D">
              <w:rPr>
                <w:rFonts w:cstheme="minorHAnsi"/>
                <w:sz w:val="20"/>
                <w:szCs w:val="20"/>
                <w:vertAlign w:val="superscript"/>
              </w:rPr>
              <w:footnoteReference w:id="1"/>
            </w:r>
            <w:r w:rsidRPr="008C3C9D">
              <w:rPr>
                <w:rFonts w:cstheme="minorHAnsi"/>
                <w:sz w:val="20"/>
                <w:szCs w:val="20"/>
              </w:rPr>
              <w:t>;</w:t>
            </w:r>
          </w:p>
          <w:p w14:paraId="3E80D440" w14:textId="3AEEE1AE" w:rsidR="00D771DB" w:rsidRPr="008C3C9D" w:rsidRDefault="00D771DB" w:rsidP="00D771DB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8C3C9D">
              <w:rPr>
                <w:rFonts w:cstheme="minorHAnsi"/>
                <w:sz w:val="20"/>
                <w:szCs w:val="20"/>
              </w:rPr>
              <w:t>wnioskodawca</w:t>
            </w:r>
            <w:r w:rsidRPr="008C3C9D">
              <w:rPr>
                <w:sz w:val="20"/>
                <w:szCs w:val="20"/>
              </w:rPr>
              <w:t xml:space="preserve"> </w:t>
            </w:r>
            <w:r w:rsidRPr="008C3C9D">
              <w:rPr>
                <w:rFonts w:cstheme="minorHAnsi"/>
                <w:sz w:val="20"/>
                <w:szCs w:val="20"/>
              </w:rPr>
              <w:t xml:space="preserve">nie rozpoczął realizacji projektu przed dniem złożenia wniosku o dofinansowanie projektu lub złożył </w:t>
            </w:r>
            <w:r w:rsidRPr="008C3C9D">
              <w:rPr>
                <w:rFonts w:cstheme="minorHAnsi"/>
                <w:sz w:val="20"/>
                <w:szCs w:val="20"/>
              </w:rPr>
              <w:lastRenderedPageBreak/>
              <w:t>oświadczenie, że realizując projekt przed dniem złożenia wniosku o dofinansowanie projektu, przestrzegał obowiązujących przepisów prawa dotyczących danego projektu, zgodnie z art. 73 ust. 2 lit. f) rozporządzenia nr 2021/1060.</w:t>
            </w:r>
          </w:p>
        </w:tc>
      </w:tr>
      <w:tr w:rsidR="00D771DB" w:rsidRPr="008C3C9D" w14:paraId="4477B288" w14:textId="6F5B7430" w:rsidTr="008C3C9D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4253E7E4" w14:textId="4D4524FD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5" w:type="dxa"/>
            <w:shd w:val="clear" w:color="auto" w:fill="auto"/>
          </w:tcPr>
          <w:p w14:paraId="27F3E9F9" w14:textId="3320FBFD" w:rsidR="00D771DB" w:rsidRPr="008C3C9D" w:rsidRDefault="000D00B2" w:rsidP="00D771DB">
            <w:pPr>
              <w:rPr>
                <w:rFonts w:cs="Arial"/>
                <w:sz w:val="20"/>
                <w:szCs w:val="20"/>
              </w:rPr>
            </w:pPr>
            <w:r w:rsidRPr="00471020">
              <w:rPr>
                <w:rFonts w:cstheme="minorHAnsi"/>
                <w:b/>
                <w:bCs/>
                <w:sz w:val="20"/>
                <w:szCs w:val="20"/>
              </w:rPr>
              <w:t>Projekt jest zgodny z zasadą równości szans i niedyskryminacji, w tym dostępności dla osób z niepełnosprawnościami</w:t>
            </w:r>
          </w:p>
        </w:tc>
        <w:tc>
          <w:tcPr>
            <w:tcW w:w="3544" w:type="dxa"/>
          </w:tcPr>
          <w:p w14:paraId="5363CE9F" w14:textId="26F07003" w:rsidR="00D771DB" w:rsidRPr="008C3C9D" w:rsidRDefault="00D771DB" w:rsidP="00B7282D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Projekt jest zgodny z zasadą równości szans i niedyskryminacji, w tym dostępności dla osób ze szczególnymi potrzebami, w tym osób z niepełnosprawnościami, zgodnie z ustawą z dnia 19 lipca 2019 r. o zapewnianiu dostępności osobom ze szczególnymi potrzebami.</w:t>
            </w:r>
          </w:p>
        </w:tc>
        <w:tc>
          <w:tcPr>
            <w:tcW w:w="3827" w:type="dxa"/>
          </w:tcPr>
          <w:p w14:paraId="36FA8972" w14:textId="608F7EDF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 xml:space="preserve">Należy uwzględnić również zapis przedmiotowej ustawy, ponieważ poszerza ona listę osób, których potrzeby należy uwzględnić. </w:t>
            </w:r>
          </w:p>
        </w:tc>
        <w:tc>
          <w:tcPr>
            <w:tcW w:w="4252" w:type="dxa"/>
          </w:tcPr>
          <w:p w14:paraId="2285520C" w14:textId="3DC2C1E2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 xml:space="preserve">Zapis jest zgodny. Rozszerzenie osób z niepełnosprawnościami jest tylko wskazaniem, a nie zamkniętym katalogiem. Na wnioskodawcy będzie ciążył obowiązek weryfikacji zapisów przedmiotowej ustawy i dostosowanie zapisów we wniosku pod ich kątem. </w:t>
            </w:r>
          </w:p>
        </w:tc>
      </w:tr>
      <w:tr w:rsidR="00D771DB" w:rsidRPr="008C3C9D" w14:paraId="44DE774B" w14:textId="6FA94C88" w:rsidTr="008C3C9D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7C3278B2" w14:textId="70A8DE0A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015" w:type="dxa"/>
            <w:shd w:val="clear" w:color="auto" w:fill="auto"/>
          </w:tcPr>
          <w:p w14:paraId="30A9F2AF" w14:textId="77777777" w:rsidR="000D00B2" w:rsidRPr="000D00B2" w:rsidRDefault="000D00B2" w:rsidP="000D00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Uwaga ogólna </w:t>
            </w:r>
            <w:r w:rsidRPr="000D00B2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Pr="000D00B2">
              <w:rPr>
                <w:rFonts w:cstheme="minorHAnsi"/>
                <w:b/>
                <w:bCs/>
                <w:sz w:val="20"/>
                <w:szCs w:val="20"/>
              </w:rPr>
              <w:t xml:space="preserve">Ocenia podlega czy </w:t>
            </w:r>
            <w:r w:rsidRPr="000D00B2">
              <w:rPr>
                <w:rFonts w:cstheme="minorHAnsi"/>
                <w:b/>
                <w:bCs/>
                <w:sz w:val="20"/>
                <w:szCs w:val="20"/>
                <w:u w:val="single"/>
              </w:rPr>
              <w:t>wniosek o powierzenie grantu</w:t>
            </w:r>
            <w:r w:rsidRPr="000D00B2">
              <w:rPr>
                <w:rFonts w:cstheme="minorHAnsi"/>
                <w:b/>
                <w:bCs/>
                <w:sz w:val="20"/>
                <w:szCs w:val="20"/>
              </w:rPr>
              <w:t xml:space="preserve"> jest złożony przez uprawniony podmiot zgodnie z Regulaminem naboru.</w:t>
            </w:r>
          </w:p>
          <w:p w14:paraId="374D3ECC" w14:textId="02CFE524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6EF4F2" w14:textId="0087CD04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Ocenie podlega czy wniosek o dofinansowanie grantu jest […]</w:t>
            </w:r>
          </w:p>
        </w:tc>
        <w:tc>
          <w:tcPr>
            <w:tcW w:w="3827" w:type="dxa"/>
          </w:tcPr>
          <w:p w14:paraId="20B7C3C7" w14:textId="095440FB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>Powierzenie jest specyficzną formą polegającą na finansowaniu zadania w 100%. Tymczasem nabór dotyczy nie finansowania, a dofinansowania, które wymaga posiadania przez wnioskodawców wkładu własnego. W związku z tym proponuje się zmianę słowa powierzenie na dofinansowanie.</w:t>
            </w:r>
          </w:p>
        </w:tc>
        <w:tc>
          <w:tcPr>
            <w:tcW w:w="4252" w:type="dxa"/>
          </w:tcPr>
          <w:p w14:paraId="4CE9E3C2" w14:textId="77777777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</w:p>
        </w:tc>
      </w:tr>
      <w:tr w:rsidR="00D771DB" w:rsidRPr="008C3C9D" w14:paraId="322F2434" w14:textId="43D3681C" w:rsidTr="008C3C9D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72E47CEE" w14:textId="195B2790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015" w:type="dxa"/>
            <w:shd w:val="clear" w:color="auto" w:fill="auto"/>
          </w:tcPr>
          <w:p w14:paraId="4299B371" w14:textId="3DD9E8AA" w:rsidR="00D771DB" w:rsidRPr="008C3C9D" w:rsidRDefault="000D00B2" w:rsidP="00D771DB">
            <w:pPr>
              <w:rPr>
                <w:rFonts w:cs="Arial"/>
                <w:sz w:val="20"/>
                <w:szCs w:val="20"/>
              </w:rPr>
            </w:pPr>
            <w:r w:rsidRPr="00830F34">
              <w:rPr>
                <w:rFonts w:cstheme="minorHAnsi"/>
                <w:b/>
                <w:sz w:val="20"/>
                <w:szCs w:val="20"/>
              </w:rPr>
              <w:t>Zintegrowanie z lokalnymi programami i strategiami</w:t>
            </w:r>
          </w:p>
        </w:tc>
        <w:tc>
          <w:tcPr>
            <w:tcW w:w="3544" w:type="dxa"/>
          </w:tcPr>
          <w:p w14:paraId="5047130F" w14:textId="77777777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Wnioskodawca może otrzymać 0-3 pkt.</w:t>
            </w:r>
          </w:p>
          <w:p w14:paraId="4893628C" w14:textId="3E9AECFD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0-1 pkt: gdy wpisuje się w 1 dokument</w:t>
            </w:r>
          </w:p>
          <w:p w14:paraId="595CCC51" w14:textId="58827987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2 pkt: gdy wpisuje się w 2 dokumenty</w:t>
            </w:r>
          </w:p>
          <w:p w14:paraId="1D85CEFE" w14:textId="161F06E6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>3 pkt: gdy wpisuje się w 3 dokumenty lub więcej</w:t>
            </w:r>
          </w:p>
        </w:tc>
        <w:tc>
          <w:tcPr>
            <w:tcW w:w="3827" w:type="dxa"/>
          </w:tcPr>
          <w:p w14:paraId="3162B10E" w14:textId="7781F954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lastRenderedPageBreak/>
              <w:t xml:space="preserve">Obecnie projekt może otrzymać tylko 1 punkt. Projekt może wpisywać się w kilka programów/strategii, czyli może mieć lepsze uzasadnienie realizacji, tym samym większy wpływ na poprawę sytuacji mieszkańców. Dlatego warto zróżnicować i punktować wnioskodawców, których </w:t>
            </w:r>
            <w:r w:rsidRPr="00D771DB">
              <w:rPr>
                <w:rFonts w:cs="Arial"/>
                <w:i/>
                <w:iCs/>
                <w:sz w:val="20"/>
                <w:szCs w:val="20"/>
              </w:rPr>
              <w:lastRenderedPageBreak/>
              <w:t xml:space="preserve">projekt wpisuje się w większą liczbę dokumentów strategicznych i operacyjnych. </w:t>
            </w:r>
          </w:p>
        </w:tc>
        <w:tc>
          <w:tcPr>
            <w:tcW w:w="4252" w:type="dxa"/>
          </w:tcPr>
          <w:p w14:paraId="204DE3D3" w14:textId="3C83FF99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 xml:space="preserve">Założeniem LGD było wskazanie, że Wnioskodawca zapoznał się z innymi dokumentami o charakterze strategicznym i zauważa zintegrowanie. Dodatkowo LRS jest komplementarna z dokumentami miejskimi i regionalnymi, więc realizacja przedsięwzięć w </w:t>
            </w:r>
            <w:r w:rsidRPr="008C3C9D">
              <w:rPr>
                <w:rFonts w:cs="Arial"/>
                <w:sz w:val="20"/>
                <w:szCs w:val="20"/>
              </w:rPr>
              <w:lastRenderedPageBreak/>
              <w:t xml:space="preserve">ramach LSR niweluje problemy społeczna na jej obszarze. </w:t>
            </w:r>
          </w:p>
        </w:tc>
      </w:tr>
      <w:tr w:rsidR="00D771DB" w:rsidRPr="008C3C9D" w14:paraId="3DE58703" w14:textId="6729CD79" w:rsidTr="008C3C9D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1713ACE0" w14:textId="59097197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015" w:type="dxa"/>
            <w:shd w:val="clear" w:color="auto" w:fill="auto"/>
          </w:tcPr>
          <w:p w14:paraId="68DBD53B" w14:textId="27165B87" w:rsidR="00D771DB" w:rsidRPr="008C3C9D" w:rsidRDefault="000D00B2" w:rsidP="00D77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Dotyczy: </w:t>
            </w:r>
            <w:r w:rsidRPr="00471020">
              <w:rPr>
                <w:rFonts w:cstheme="minorHAnsi"/>
                <w:b/>
                <w:sz w:val="20"/>
                <w:szCs w:val="20"/>
              </w:rPr>
              <w:t>Dobór działań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uzupełnienie uzasadnnienia</w:t>
            </w:r>
          </w:p>
        </w:tc>
        <w:tc>
          <w:tcPr>
            <w:tcW w:w="3544" w:type="dxa"/>
          </w:tcPr>
          <w:p w14:paraId="2B77BF16" w14:textId="0BC4DA0B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Projekt realizowany jest na obszarze zdegradowanym (Jakubskie, Mokre, Bielawy, Grębocin): 1 pkt</w:t>
            </w:r>
          </w:p>
          <w:p w14:paraId="2BEA8982" w14:textId="6F6C5BAE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Projekt realizowany jest na obszarze rewitalizacji ( Stare Miasto, Bydgoskie, Podgórz): 2 pkt</w:t>
            </w:r>
          </w:p>
          <w:p w14:paraId="5FAA03E3" w14:textId="1182CCF6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Projekt wpisany do GPR-T do 2027: 3 pkt</w:t>
            </w:r>
          </w:p>
          <w:p w14:paraId="549019B1" w14:textId="77777777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366C4D" w14:textId="74A2EFFE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>Brakuje odniesienia się do Gminnego Programu Rewitalizacji pn. Program Rewitalizacji Torunia do roku 2027 (GPR-T do 2027). Projekty, które będą niwelować problemy i negatywne zjawiska opisane w GPR-T do 2027 i które będą wdrażane na obszarze rewitalizacji, powinny być dodatkowo punktowane ze względu na sytuację kryzysową, którą wykazuje obszar rewitalizacji.</w:t>
            </w:r>
          </w:p>
        </w:tc>
        <w:tc>
          <w:tcPr>
            <w:tcW w:w="4252" w:type="dxa"/>
          </w:tcPr>
          <w:p w14:paraId="2BD06797" w14:textId="61BA2F91" w:rsidR="00D771DB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Uwaga uwzględniona.</w:t>
            </w:r>
          </w:p>
          <w:p w14:paraId="4B0B3D11" w14:textId="064B85F4" w:rsidR="00D75815" w:rsidRDefault="00D75815" w:rsidP="00D77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Dodano wskaźnik:</w:t>
            </w:r>
          </w:p>
          <w:p w14:paraId="471A793B" w14:textId="373D2FA1" w:rsidR="00D75815" w:rsidRDefault="00D75815" w:rsidP="00D771D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Realizacja projektu na obszarze zdegradowanym lub rewitalizacji miasta Torunia</w:t>
            </w:r>
          </w:p>
          <w:p w14:paraId="2491E681" w14:textId="7589D452" w:rsidR="00D75815" w:rsidRDefault="00D75815" w:rsidP="00D771D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Uzasadnienie:</w:t>
            </w:r>
          </w:p>
          <w:p w14:paraId="7A1EF62E" w14:textId="77777777" w:rsidR="00D75815" w:rsidRDefault="00D75815" w:rsidP="00D75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Ocenie podlega, czy wnioskodawca założył realizację projektu na obszarze zdegradowanym lub rewitalizacji miasta Torunia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.</w:t>
            </w:r>
          </w:p>
          <w:p w14:paraId="10D72AB7" w14:textId="77777777" w:rsidR="00D75815" w:rsidRDefault="00D75815" w:rsidP="00D75815">
            <w:pPr>
              <w:rPr>
                <w:sz w:val="20"/>
                <w:szCs w:val="20"/>
              </w:rPr>
            </w:pPr>
          </w:p>
          <w:p w14:paraId="298E6674" w14:textId="77777777" w:rsidR="00D75815" w:rsidRPr="00384BE9" w:rsidRDefault="00D75815" w:rsidP="00D75815">
            <w:pPr>
              <w:pStyle w:val="Normalny1"/>
              <w:rPr>
                <w:rFonts w:asciiTheme="minorHAnsi" w:hAnsiTheme="minorHAnsi" w:cstheme="minorHAnsi"/>
              </w:rPr>
            </w:pPr>
            <w:r w:rsidRPr="00830F34">
              <w:rPr>
                <w:rFonts w:asciiTheme="minorHAnsi" w:hAnsiTheme="minorHAnsi" w:cstheme="minorHAnsi"/>
              </w:rPr>
              <w:t>Wnioskodawca może otrzymać 0-</w:t>
            </w:r>
            <w:r>
              <w:rPr>
                <w:rFonts w:asciiTheme="minorHAnsi" w:hAnsiTheme="minorHAnsi" w:cstheme="minorHAnsi"/>
              </w:rPr>
              <w:t>2</w:t>
            </w:r>
            <w:r w:rsidRPr="00830F34">
              <w:rPr>
                <w:rFonts w:asciiTheme="minorHAnsi" w:hAnsiTheme="minorHAnsi" w:cstheme="minorHAnsi"/>
              </w:rPr>
              <w:t xml:space="preserve"> pkt:</w:t>
            </w:r>
          </w:p>
          <w:p w14:paraId="56FD3DEA" w14:textId="77777777" w:rsidR="00D75815" w:rsidRDefault="00D75815" w:rsidP="00D75815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projektu na obszarze zdegradowanym – 1 pkt.</w:t>
            </w:r>
          </w:p>
          <w:p w14:paraId="4C3D28AD" w14:textId="77777777" w:rsidR="00D75815" w:rsidRDefault="00D75815" w:rsidP="00D75815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projektu na obszarze rewitalizacji – 2 pkt.</w:t>
            </w:r>
          </w:p>
          <w:p w14:paraId="49BC8129" w14:textId="648FFB06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</w:p>
        </w:tc>
      </w:tr>
      <w:tr w:rsidR="00D771DB" w:rsidRPr="008C3C9D" w14:paraId="50DBD97A" w14:textId="5FB3D271" w:rsidTr="008C3C9D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3C655A85" w14:textId="5A57831F" w:rsidR="00D771DB" w:rsidRPr="008C3C9D" w:rsidRDefault="00D771DB" w:rsidP="00D771DB">
            <w:pPr>
              <w:jc w:val="center"/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015" w:type="dxa"/>
            <w:shd w:val="clear" w:color="auto" w:fill="auto"/>
          </w:tcPr>
          <w:p w14:paraId="174E6C85" w14:textId="1A395299" w:rsidR="00D771DB" w:rsidRPr="008C3C9D" w:rsidRDefault="000D00B2" w:rsidP="00D771DB">
            <w:pPr>
              <w:rPr>
                <w:rFonts w:cs="Arial"/>
                <w:sz w:val="20"/>
                <w:szCs w:val="20"/>
              </w:rPr>
            </w:pPr>
            <w:r w:rsidRPr="00471020">
              <w:rPr>
                <w:rFonts w:cstheme="minorHAnsi"/>
                <w:b/>
                <w:sz w:val="20"/>
                <w:szCs w:val="20"/>
              </w:rPr>
              <w:t>Uczestnicy projektu – większa liczba niż zakładana w Regulaminie</w:t>
            </w:r>
          </w:p>
        </w:tc>
        <w:tc>
          <w:tcPr>
            <w:tcW w:w="3544" w:type="dxa"/>
          </w:tcPr>
          <w:p w14:paraId="36410AF4" w14:textId="77777777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 xml:space="preserve">Ocenie podlega, czy Wnioskodawca założył większą liczbę uczestników projektu, niż zakładana w Regulaminie oraz czy uczestnicy projektu pochodzą z </w:t>
            </w:r>
            <w:r w:rsidRPr="008C3C9D">
              <w:rPr>
                <w:rFonts w:cs="Arial"/>
                <w:sz w:val="20"/>
                <w:szCs w:val="20"/>
              </w:rPr>
              <w:lastRenderedPageBreak/>
              <w:t>obszaru zdegradowanego lub obszaru rewitalizacji.</w:t>
            </w:r>
          </w:p>
          <w:p w14:paraId="5F4F437D" w14:textId="77777777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Wnioskodawca może otrzymać – 0-3 pkt</w:t>
            </w:r>
          </w:p>
          <w:p w14:paraId="48815DFE" w14:textId="31FA60C1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1 pkt: Wnioskodawca założył większą liczbę uczestników projektu</w:t>
            </w:r>
          </w:p>
          <w:p w14:paraId="6AD8EF1B" w14:textId="6521EAA1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2 pkt: Uczestnicy zamieszkują obszar zdegradowany</w:t>
            </w:r>
          </w:p>
          <w:p w14:paraId="36A5F9BE" w14:textId="5FFC0F07" w:rsidR="00D771DB" w:rsidRPr="008C3C9D" w:rsidRDefault="00D771DB" w:rsidP="00D771DB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3 pkt: Uczestnicy zamieszkują obszar rewitalizacji</w:t>
            </w:r>
          </w:p>
        </w:tc>
        <w:tc>
          <w:tcPr>
            <w:tcW w:w="3827" w:type="dxa"/>
          </w:tcPr>
          <w:p w14:paraId="0ED5D962" w14:textId="77777777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lastRenderedPageBreak/>
              <w:t>Brakuje odniesienia się do Gminnego Programu Rewitalizacji pn. Program Rewitalizacji Torunia do roku 2027 (GPR-T do 2027).</w:t>
            </w:r>
          </w:p>
          <w:p w14:paraId="673A7A2B" w14:textId="77777777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lastRenderedPageBreak/>
              <w:t>Uwzględnienie dodatkowo mieszkańców z obszaru zdegradowanego i obszaru rewitalizacji zachęca do prowadzenia działań społecznych na terenach, które zidentyfikowane zostały, jako te, które najbardziej wymagają wsparcia w postaci działań mających na celu podniesienie standardu życia mieszkańców.</w:t>
            </w:r>
          </w:p>
          <w:p w14:paraId="2F7D95F1" w14:textId="77777777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67D4F7EB" w14:textId="77777777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2A3CE749" w14:textId="77777777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2C2B7A2D" w14:textId="77777777" w:rsid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31F08EF5" w14:textId="77777777" w:rsidR="000D00B2" w:rsidRDefault="000D00B2" w:rsidP="00D771DB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14FCA3E8" w14:textId="77777777" w:rsidR="000D00B2" w:rsidRPr="00D771DB" w:rsidRDefault="000D00B2" w:rsidP="00D771DB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186AB62F" w14:textId="3255B515" w:rsidR="00D771DB" w:rsidRPr="00D771DB" w:rsidRDefault="00D771DB" w:rsidP="00D771D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71DB">
              <w:rPr>
                <w:rFonts w:cs="Arial"/>
                <w:i/>
                <w:iCs/>
                <w:sz w:val="20"/>
                <w:szCs w:val="20"/>
              </w:rPr>
              <w:t xml:space="preserve">Zmiana słowa „ilość” na „liczba”. Pierwsze słowo odnosi się do wartości niepoliczalnych, drugie do policzalnych. </w:t>
            </w:r>
          </w:p>
        </w:tc>
        <w:tc>
          <w:tcPr>
            <w:tcW w:w="4252" w:type="dxa"/>
          </w:tcPr>
          <w:p w14:paraId="6089A111" w14:textId="77777777" w:rsidR="00D75815" w:rsidRDefault="00D75815" w:rsidP="00D758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Uwaga odrzucona</w:t>
            </w:r>
          </w:p>
          <w:p w14:paraId="403FDBEB" w14:textId="77777777" w:rsidR="00D75815" w:rsidRDefault="00D75815" w:rsidP="00D75815">
            <w:pPr>
              <w:rPr>
                <w:rFonts w:cs="Arial"/>
                <w:sz w:val="20"/>
                <w:szCs w:val="20"/>
              </w:rPr>
            </w:pPr>
          </w:p>
          <w:p w14:paraId="74E4618B" w14:textId="1AF4E69D" w:rsidR="00D75815" w:rsidRPr="008C3C9D" w:rsidRDefault="00D75815" w:rsidP="00D75815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lastRenderedPageBreak/>
              <w:t xml:space="preserve">LSR obejmuje obszar całej Gminy Miasta Toruń, nie jest bezpośrednią odpowiedzią na problemy i zjawiska opisane w GPR. </w:t>
            </w:r>
          </w:p>
          <w:p w14:paraId="213A3FE4" w14:textId="54D27A96" w:rsidR="00D75815" w:rsidRPr="008C3C9D" w:rsidRDefault="00D75815" w:rsidP="00D75815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Dodatkowo zauważa się ryzyko zaplanowania udziału uczestników – mieszkańców obszaru rewitalizacji czy zdegradowanego. Realizacja LSR w latach programowania 2014-2020 pokazała, że wnioskodawcy chętnie oświadczają zaangażowanie mieszkańców ww. obszarów, natomiast przy realizacji nie ma możliwości wpływy na zamieszkiwanie uczestników, co jest</w:t>
            </w:r>
            <w:r w:rsidRPr="008C3C9D">
              <w:rPr>
                <w:rFonts w:cs="Arial"/>
                <w:sz w:val="20"/>
                <w:szCs w:val="20"/>
              </w:rPr>
              <w:t xml:space="preserve"> </w:t>
            </w:r>
            <w:r w:rsidRPr="008C3C9D">
              <w:rPr>
                <w:rFonts w:cs="Arial"/>
                <w:sz w:val="20"/>
                <w:szCs w:val="20"/>
              </w:rPr>
              <w:t xml:space="preserve">dyskryminujące względem tych wnioskodawców, którzy nie deklarowali, ale zrekrutowali. </w:t>
            </w:r>
          </w:p>
          <w:p w14:paraId="52B1CB6B" w14:textId="77777777" w:rsidR="00D75815" w:rsidRPr="008C3C9D" w:rsidRDefault="00D75815" w:rsidP="00D75815">
            <w:pPr>
              <w:rPr>
                <w:rFonts w:cs="Arial"/>
                <w:sz w:val="20"/>
                <w:szCs w:val="20"/>
              </w:rPr>
            </w:pPr>
            <w:r w:rsidRPr="008C3C9D">
              <w:rPr>
                <w:rFonts w:cs="Arial"/>
                <w:sz w:val="20"/>
                <w:szCs w:val="20"/>
              </w:rPr>
              <w:t>LGD uwzględni uwagę w zakresie obszaru realizacji projektu.</w:t>
            </w:r>
          </w:p>
          <w:p w14:paraId="656FC05B" w14:textId="77777777" w:rsidR="00D75815" w:rsidRDefault="00D75815" w:rsidP="00D75815">
            <w:pPr>
              <w:rPr>
                <w:rFonts w:cs="Arial"/>
                <w:sz w:val="20"/>
                <w:szCs w:val="20"/>
              </w:rPr>
            </w:pPr>
          </w:p>
          <w:p w14:paraId="24D6025B" w14:textId="778AAE2B" w:rsidR="000D00B2" w:rsidRPr="008C3C9D" w:rsidRDefault="000D00B2" w:rsidP="00D758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Uwaga uwzględniona.</w:t>
            </w:r>
          </w:p>
          <w:p w14:paraId="109D1D02" w14:textId="0B333D80" w:rsidR="00D771DB" w:rsidRPr="008C3C9D" w:rsidRDefault="00D771DB" w:rsidP="00D7581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E07F926" w14:textId="1F59D20D" w:rsidR="00C17865" w:rsidRDefault="00C17865" w:rsidP="00A72FEA">
      <w:pPr>
        <w:jc w:val="center"/>
        <w:rPr>
          <w:b/>
          <w:bCs/>
          <w:sz w:val="28"/>
          <w:szCs w:val="28"/>
        </w:rPr>
      </w:pPr>
    </w:p>
    <w:sectPr w:rsidR="00C17865" w:rsidSect="006158BD">
      <w:headerReference w:type="default" r:id="rId8"/>
      <w:footerReference w:type="default" r:id="rId9"/>
      <w:pgSz w:w="16838" w:h="11906" w:orient="landscape"/>
      <w:pgMar w:top="1985" w:right="962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E50D" w14:textId="77777777" w:rsidR="006158BD" w:rsidRDefault="006158BD" w:rsidP="00DB31DF">
      <w:pPr>
        <w:spacing w:after="0" w:line="240" w:lineRule="auto"/>
      </w:pPr>
      <w:r>
        <w:separator/>
      </w:r>
    </w:p>
  </w:endnote>
  <w:endnote w:type="continuationSeparator" w:id="0">
    <w:p w14:paraId="13B128A7" w14:textId="77777777" w:rsidR="006158BD" w:rsidRDefault="006158BD" w:rsidP="00DB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B69B" w14:textId="7E29058D" w:rsidR="00DD6F1D" w:rsidRDefault="00DD6F1D" w:rsidP="00DD6F1D">
    <w:pPr>
      <w:pStyle w:val="Nagwek"/>
      <w:jc w:val="center"/>
    </w:pPr>
  </w:p>
  <w:p w14:paraId="7EAE0B72" w14:textId="31040059" w:rsidR="00DB31DF" w:rsidRDefault="00DB31DF">
    <w:pPr>
      <w:pStyle w:val="Stopka"/>
    </w:pPr>
  </w:p>
  <w:p w14:paraId="75FA1836" w14:textId="77777777" w:rsidR="00DB31DF" w:rsidRDefault="00D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C556" w14:textId="77777777" w:rsidR="006158BD" w:rsidRDefault="006158BD" w:rsidP="00DB31DF">
      <w:pPr>
        <w:spacing w:after="0" w:line="240" w:lineRule="auto"/>
      </w:pPr>
      <w:r>
        <w:separator/>
      </w:r>
    </w:p>
  </w:footnote>
  <w:footnote w:type="continuationSeparator" w:id="0">
    <w:p w14:paraId="1CAAE37E" w14:textId="77777777" w:rsidR="006158BD" w:rsidRDefault="006158BD" w:rsidP="00DB31DF">
      <w:pPr>
        <w:spacing w:after="0" w:line="240" w:lineRule="auto"/>
      </w:pPr>
      <w:r>
        <w:continuationSeparator/>
      </w:r>
    </w:p>
  </w:footnote>
  <w:footnote w:id="1">
    <w:p w14:paraId="468CDF58" w14:textId="77777777" w:rsidR="00D771DB" w:rsidRPr="003D3D0E" w:rsidRDefault="00D771DB" w:rsidP="00C72F9E">
      <w:pPr>
        <w:pStyle w:val="Tekstprzypisudolnego"/>
        <w:jc w:val="both"/>
        <w:rPr>
          <w:rFonts w:cstheme="minorHAnsi"/>
          <w:sz w:val="18"/>
          <w:szCs w:val="18"/>
        </w:rPr>
      </w:pPr>
      <w:r w:rsidRPr="003D3D0E">
        <w:rPr>
          <w:rFonts w:cstheme="minorHAnsi"/>
          <w:sz w:val="18"/>
          <w:szCs w:val="18"/>
          <w:vertAlign w:val="superscript"/>
        </w:rPr>
        <w:footnoteRef/>
      </w:r>
      <w:r w:rsidRPr="003D3D0E">
        <w:rPr>
          <w:rFonts w:cstheme="minorHAnsi"/>
          <w:sz w:val="18"/>
          <w:szCs w:val="18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</w:footnote>
  <w:footnote w:id="2">
    <w:p w14:paraId="614E598D" w14:textId="77777777" w:rsidR="00D75815" w:rsidRDefault="00D75815" w:rsidP="00D758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1BAB">
        <w:rPr>
          <w:sz w:val="18"/>
          <w:szCs w:val="18"/>
        </w:rPr>
        <w:t>Obszary zgodne z „Programem Rewitalizacji Torunia do roku 2027”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951" w14:textId="22DB9FA3" w:rsidR="00DB31DF" w:rsidRDefault="00556700" w:rsidP="005567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8802DC" wp14:editId="22E2992D">
          <wp:extent cx="5760720" cy="533400"/>
          <wp:effectExtent l="0" t="0" r="0" b="0"/>
          <wp:docPr id="1589819592" name="Obraz 1589819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5E34"/>
    <w:multiLevelType w:val="hybridMultilevel"/>
    <w:tmpl w:val="53D48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199B"/>
    <w:multiLevelType w:val="hybridMultilevel"/>
    <w:tmpl w:val="A180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68860">
    <w:abstractNumId w:val="2"/>
  </w:num>
  <w:num w:numId="2" w16cid:durableId="581724086">
    <w:abstractNumId w:val="1"/>
  </w:num>
  <w:num w:numId="3" w16cid:durableId="34579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F"/>
    <w:rsid w:val="00002E1A"/>
    <w:rsid w:val="00065ADA"/>
    <w:rsid w:val="00094A39"/>
    <w:rsid w:val="000C08DF"/>
    <w:rsid w:val="000D00B2"/>
    <w:rsid w:val="00111027"/>
    <w:rsid w:val="00172EDB"/>
    <w:rsid w:val="001A0B76"/>
    <w:rsid w:val="001B5836"/>
    <w:rsid w:val="001F7245"/>
    <w:rsid w:val="002750A7"/>
    <w:rsid w:val="00281173"/>
    <w:rsid w:val="00297645"/>
    <w:rsid w:val="002A69F7"/>
    <w:rsid w:val="002B1557"/>
    <w:rsid w:val="00317A0E"/>
    <w:rsid w:val="00332D8B"/>
    <w:rsid w:val="003F72E1"/>
    <w:rsid w:val="00444152"/>
    <w:rsid w:val="004E1F4A"/>
    <w:rsid w:val="004F3641"/>
    <w:rsid w:val="00512A56"/>
    <w:rsid w:val="00556700"/>
    <w:rsid w:val="005570E9"/>
    <w:rsid w:val="00585F15"/>
    <w:rsid w:val="00594480"/>
    <w:rsid w:val="005B468E"/>
    <w:rsid w:val="005C6AD3"/>
    <w:rsid w:val="005F643E"/>
    <w:rsid w:val="00612F22"/>
    <w:rsid w:val="006158BD"/>
    <w:rsid w:val="006441C8"/>
    <w:rsid w:val="006B544C"/>
    <w:rsid w:val="006D75E7"/>
    <w:rsid w:val="006F7B96"/>
    <w:rsid w:val="0072238B"/>
    <w:rsid w:val="0074383C"/>
    <w:rsid w:val="00756E07"/>
    <w:rsid w:val="00765C8E"/>
    <w:rsid w:val="007829ED"/>
    <w:rsid w:val="007B6B93"/>
    <w:rsid w:val="00836D89"/>
    <w:rsid w:val="0085799D"/>
    <w:rsid w:val="008C3C9D"/>
    <w:rsid w:val="008E03BA"/>
    <w:rsid w:val="008E417F"/>
    <w:rsid w:val="00925B36"/>
    <w:rsid w:val="00956F6A"/>
    <w:rsid w:val="009E50B2"/>
    <w:rsid w:val="009E510F"/>
    <w:rsid w:val="00A61889"/>
    <w:rsid w:val="00A72FEA"/>
    <w:rsid w:val="00A928D9"/>
    <w:rsid w:val="00B7282D"/>
    <w:rsid w:val="00B72B8B"/>
    <w:rsid w:val="00BD5C01"/>
    <w:rsid w:val="00C17865"/>
    <w:rsid w:val="00C41C55"/>
    <w:rsid w:val="00C72F9E"/>
    <w:rsid w:val="00CA09FF"/>
    <w:rsid w:val="00CE23F7"/>
    <w:rsid w:val="00D75815"/>
    <w:rsid w:val="00D771DB"/>
    <w:rsid w:val="00DB2C47"/>
    <w:rsid w:val="00DB31DF"/>
    <w:rsid w:val="00DC3AAF"/>
    <w:rsid w:val="00DD6F1D"/>
    <w:rsid w:val="00E37853"/>
    <w:rsid w:val="00E61AA0"/>
    <w:rsid w:val="00E6283E"/>
    <w:rsid w:val="00E63E3F"/>
    <w:rsid w:val="00EE71EB"/>
    <w:rsid w:val="00F0029B"/>
    <w:rsid w:val="00F1783E"/>
    <w:rsid w:val="00F263FB"/>
    <w:rsid w:val="00F34C4A"/>
    <w:rsid w:val="00F56791"/>
    <w:rsid w:val="00F653C4"/>
    <w:rsid w:val="00F731F9"/>
    <w:rsid w:val="00F73339"/>
    <w:rsid w:val="00FA39B3"/>
    <w:rsid w:val="00FA43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A2921"/>
  <w15:docId w15:val="{594B0987-3F11-4F38-BE55-A6AD8F44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7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1DF"/>
  </w:style>
  <w:style w:type="paragraph" w:styleId="Stopka">
    <w:name w:val="footer"/>
    <w:basedOn w:val="Normalny"/>
    <w:link w:val="StopkaZnak"/>
    <w:uiPriority w:val="99"/>
    <w:unhideWhenUsed/>
    <w:rsid w:val="00DB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1DF"/>
  </w:style>
  <w:style w:type="paragraph" w:styleId="Tekstdymka">
    <w:name w:val="Balloon Text"/>
    <w:basedOn w:val="Normalny"/>
    <w:link w:val="TekstdymkaZnak"/>
    <w:uiPriority w:val="99"/>
    <w:semiHidden/>
    <w:unhideWhenUsed/>
    <w:rsid w:val="00D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72E1"/>
    <w:rPr>
      <w:color w:val="0000FF" w:themeColor="hyperlink"/>
      <w:u w:val="single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9E50B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Znak,FOOTNOTES,o,fn,Znak Znak,przyp,Tekst przypisu,footnote text"/>
    <w:basedOn w:val="Normalny"/>
    <w:link w:val="TekstprzypisudolnegoZnak"/>
    <w:uiPriority w:val="99"/>
    <w:unhideWhenUsed/>
    <w:qFormat/>
    <w:rsid w:val="00C72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basedOn w:val="Domylnaczcionkaakapitu"/>
    <w:link w:val="Tekstprzypisudolnego"/>
    <w:uiPriority w:val="99"/>
    <w:rsid w:val="00C72F9E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C72F9E"/>
  </w:style>
  <w:style w:type="paragraph" w:styleId="Poprawka">
    <w:name w:val="Revision"/>
    <w:hidden/>
    <w:uiPriority w:val="99"/>
    <w:semiHidden/>
    <w:rsid w:val="00F263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6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3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3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3FB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basedOn w:val="Domylnaczcionkaakapitu"/>
    <w:uiPriority w:val="99"/>
    <w:unhideWhenUsed/>
    <w:rsid w:val="00D75815"/>
    <w:rPr>
      <w:vertAlign w:val="superscript"/>
    </w:rPr>
  </w:style>
  <w:style w:type="paragraph" w:customStyle="1" w:styleId="Normalny1">
    <w:name w:val="Normalny1"/>
    <w:rsid w:val="00D758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7BD2-857B-4223-9F04-2A50C551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Jedrek</dc:creator>
  <cp:keywords/>
  <dc:description/>
  <cp:lastModifiedBy>Dla Miasta Torunia</cp:lastModifiedBy>
  <cp:revision>4</cp:revision>
  <cp:lastPrinted>2023-04-04T07:26:00Z</cp:lastPrinted>
  <dcterms:created xsi:type="dcterms:W3CDTF">2024-02-07T12:59:00Z</dcterms:created>
  <dcterms:modified xsi:type="dcterms:W3CDTF">2024-02-07T14:04:00Z</dcterms:modified>
</cp:coreProperties>
</file>